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rPr>
          <w:rFonts w:ascii="宋体" w:hAnsi="宋体" w:eastAsia="宋体"/>
          <w:lang w:eastAsia="zh-CN"/>
        </w:rPr>
      </w:pPr>
      <w:r>
        <w:rPr>
          <w:rFonts w:hint="eastAsia" w:ascii="宋体" w:hAnsi="宋体" w:eastAsia="宋体" w:cs="宋体"/>
          <w:lang w:eastAsia="zh-CN"/>
        </w:rPr>
        <w:t>项目概述</w:t>
      </w:r>
    </w:p>
    <w:p>
      <w:pPr>
        <w:pStyle w:val="7"/>
        <w:ind w:firstLine="480"/>
        <w:rPr>
          <w:rFonts w:ascii="宋体" w:hAnsi="宋体"/>
        </w:rPr>
      </w:pPr>
      <w:r>
        <w:rPr>
          <w:rFonts w:hint="eastAsia" w:ascii="宋体" w:hAnsi="宋体"/>
        </w:rPr>
        <w:t>临床决策支持系统（CDSS：ClinicalDecisionSupportSystem）即通过标准临床知识体系、指南、说明书等以及通用规则逻辑，应用自然语言处理技术，构建数据分析模型，结合临床数据中心业务数据，辅助临床决策者进行临床决策，最大限度减少人工的疏漏及错误，以提升患者服务水平，减少医疗事故。</w:t>
      </w:r>
    </w:p>
    <w:p>
      <w:pPr>
        <w:pStyle w:val="7"/>
        <w:spacing w:after="156"/>
        <w:ind w:firstLine="480"/>
        <w:rPr>
          <w:rFonts w:hint="eastAsia" w:ascii="宋体" w:hAnsi="宋体"/>
        </w:rPr>
      </w:pPr>
      <w:r>
        <w:rPr>
          <w:rFonts w:hint="eastAsia" w:ascii="宋体" w:hAnsi="宋体"/>
        </w:rPr>
        <w:t>CDSS在临床应用中为工作人员提供全面智能辅助决策支持，建设CDSS系统，旨在能够帮助医院实时杜绝病程诊疗风险、用药风险，合理智能给予诊疗监测及合理诊疗建议，提升医药服务质量，整体上提高医疗质量，系统的构建事前警戒、事中辅助决策、事后追溯的临床辅助决策支持系统。</w:t>
      </w:r>
    </w:p>
    <w:p>
      <w:pPr>
        <w:rPr>
          <w:rFonts w:ascii="Calibri" w:hAnsi="Calibri" w:eastAsia="宋体" w:cs="Times New Roman"/>
          <w:kern w:val="2"/>
          <w:sz w:val="24"/>
          <w:szCs w:val="24"/>
          <w:lang w:eastAsia="zh-CN"/>
        </w:rPr>
      </w:pPr>
      <w:r>
        <w:rPr>
          <w:lang w:eastAsia="zh-CN"/>
        </w:rPr>
        <w:br w:type="page"/>
      </w:r>
    </w:p>
    <w:p>
      <w:pPr>
        <w:pStyle w:val="3"/>
        <w:numPr>
          <w:ilvl w:val="0"/>
          <w:numId w:val="1"/>
        </w:numPr>
        <w:rPr>
          <w:rFonts w:ascii="宋体" w:hAnsi="宋体" w:eastAsia="宋体"/>
          <w:lang w:eastAsia="zh-CN"/>
        </w:rPr>
      </w:pPr>
      <w:r>
        <w:rPr>
          <w:rFonts w:hint="eastAsia" w:ascii="宋体" w:hAnsi="宋体" w:eastAsia="宋体" w:cs="宋体"/>
          <w:lang w:eastAsia="zh-CN"/>
        </w:rPr>
        <w:t>技术参数要求</w:t>
      </w:r>
    </w:p>
    <w:p>
      <w:pPr>
        <w:pStyle w:val="4"/>
        <w:numPr>
          <w:ilvl w:val="1"/>
          <w:numId w:val="1"/>
        </w:numPr>
        <w:rPr>
          <w:rFonts w:hint="eastAsia" w:ascii="宋体" w:hAnsi="宋体" w:eastAsia="宋体" w:cs="宋体"/>
          <w:b w:val="0"/>
          <w:bCs w:val="0"/>
          <w:lang w:eastAsia="zh-CN"/>
        </w:rPr>
      </w:pPr>
      <w:r>
        <w:rPr>
          <w:rFonts w:hint="eastAsia" w:ascii="宋体" w:hAnsi="宋体" w:eastAsia="宋体" w:cs="宋体"/>
          <w:b w:val="0"/>
          <w:bCs w:val="0"/>
          <w:lang w:eastAsia="zh-CN"/>
        </w:rPr>
        <w:t>临床决策支持系统功能参数(</w:t>
      </w:r>
      <w:r>
        <w:rPr>
          <w:rFonts w:ascii="宋体" w:hAnsi="宋体" w:eastAsia="宋体" w:cs="宋体"/>
          <w:b w:val="0"/>
          <w:bCs w:val="0"/>
          <w:lang w:eastAsia="zh-CN"/>
        </w:rPr>
        <w:t>满足国家电子病历分级评价</w:t>
      </w:r>
      <w:r>
        <w:rPr>
          <w:rFonts w:hint="eastAsia" w:ascii="宋体" w:hAnsi="宋体" w:eastAsia="宋体" w:cs="宋体"/>
          <w:b w:val="0"/>
          <w:bCs w:val="0"/>
          <w:lang w:eastAsia="zh-CN"/>
        </w:rPr>
        <w:t>六级、互联互通五乙评价要求)</w:t>
      </w:r>
    </w:p>
    <w:tbl>
      <w:tblPr>
        <w:tblStyle w:val="12"/>
        <w:tblpPr w:leftFromText="180" w:rightFromText="180" w:vertAnchor="text" w:tblpY="1"/>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shd w:val="clear" w:color="000000" w:fill="FFFFFF"/>
            <w:vAlign w:val="center"/>
          </w:tcPr>
          <w:p>
            <w:pPr>
              <w:widowControl/>
              <w:rPr>
                <w:rFonts w:ascii="宋体" w:hAnsi="宋体" w:cs="宋体"/>
                <w:b/>
                <w:bCs/>
                <w:sz w:val="20"/>
                <w:szCs w:val="20"/>
              </w:rPr>
            </w:pPr>
            <w:r>
              <w:rPr>
                <w:rFonts w:hint="eastAsia" w:ascii="宋体" w:hAnsi="宋体" w:cs="宋体"/>
                <w:b/>
                <w:bCs/>
                <w:sz w:val="20"/>
                <w:szCs w:val="20"/>
              </w:rPr>
              <w:t>功能</w:t>
            </w:r>
          </w:p>
        </w:tc>
        <w:tc>
          <w:tcPr>
            <w:tcW w:w="7938" w:type="dxa"/>
            <w:shd w:val="clear" w:color="000000" w:fill="FFFFFF"/>
            <w:vAlign w:val="center"/>
          </w:tcPr>
          <w:p>
            <w:pPr>
              <w:widowControl/>
              <w:rPr>
                <w:rFonts w:ascii="宋体" w:hAnsi="宋体" w:cs="宋体"/>
                <w:b/>
                <w:bCs/>
                <w:sz w:val="20"/>
                <w:szCs w:val="20"/>
              </w:rPr>
            </w:pPr>
            <w:r>
              <w:rPr>
                <w:rFonts w:hint="eastAsia" w:ascii="宋体" w:hAnsi="宋体" w:cs="宋体"/>
                <w:b/>
                <w:bCs/>
                <w:sz w:val="20"/>
                <w:szCs w:val="20"/>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555" w:type="dxa"/>
            <w:vMerge w:val="restart"/>
            <w:shd w:val="clear" w:color="000000" w:fill="FFFFFF"/>
            <w:vAlign w:val="center"/>
          </w:tcPr>
          <w:p>
            <w:pPr>
              <w:widowControl/>
              <w:rPr>
                <w:rFonts w:ascii="宋体" w:hAnsi="宋体" w:cs="宋体"/>
                <w:sz w:val="20"/>
                <w:szCs w:val="20"/>
              </w:rPr>
            </w:pPr>
            <w:r>
              <w:rPr>
                <w:rFonts w:hint="eastAsia" w:ascii="宋体" w:hAnsi="宋体" w:cs="宋体"/>
                <w:sz w:val="20"/>
                <w:szCs w:val="20"/>
              </w:rPr>
              <w:t>临床决策支持</w:t>
            </w: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应用于不同的临床业务工作站，通过与至少两个以上业务系统集成，以深度集成的方式或以浮动提示框的形式，实时对医生的用药方案、检验申请、检查申请、手术预约、治疗申请等医疗行为进行分析，实现辅助提示，实时对诊疗危险行为给予阻断、警戒或提示，直到医生修正或给予合理的执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从疾病、检验、检查、药物、治疗、手术等多个业务场景进行分析。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从初诊、确诊、手术治疗、药物治疗等不同阶段进行分析。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诊疗过程中实现辅助诊疗、安全保障、精准治疗、知识参考等临床辅助决策支持。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restart"/>
            <w:vAlign w:val="center"/>
          </w:tcPr>
          <w:p>
            <w:pPr>
              <w:widowControl/>
              <w:rPr>
                <w:rFonts w:ascii="宋体" w:hAnsi="宋体" w:cs="宋体"/>
                <w:sz w:val="20"/>
                <w:szCs w:val="20"/>
                <w:lang w:eastAsia="zh-CN"/>
              </w:rPr>
            </w:pPr>
            <w:r>
              <w:rPr>
                <w:rFonts w:hint="eastAsia" w:ascii="宋体" w:hAnsi="宋体" w:cs="宋体"/>
                <w:sz w:val="20"/>
                <w:szCs w:val="20"/>
              </w:rPr>
              <w:t>精准辅助决策</w:t>
            </w:r>
          </w:p>
        </w:tc>
        <w:tc>
          <w:tcPr>
            <w:tcW w:w="7938" w:type="dxa"/>
          </w:tcPr>
          <w:p>
            <w:pPr>
              <w:widowControl/>
              <w:rPr>
                <w:rFonts w:ascii="宋体" w:hAnsi="宋体" w:cs="宋体"/>
                <w:sz w:val="20"/>
                <w:szCs w:val="20"/>
                <w:lang w:eastAsia="zh-CN"/>
              </w:rPr>
            </w:pPr>
            <w:r>
              <w:rPr>
                <w:rFonts w:cs="Times New Roman" w:asciiTheme="minorEastAsia" w:hAnsiTheme="minorEastAsia"/>
                <w:w w:val="80"/>
                <w:sz w:val="20"/>
                <w:szCs w:val="20"/>
                <w:lang w:eastAsia="zh-CN"/>
              </w:rPr>
              <w:t>TPN</w:t>
            </w:r>
            <w:r>
              <w:rPr>
                <w:rFonts w:cs="Times New Roman" w:asciiTheme="minorEastAsia" w:hAnsiTheme="minorEastAsia"/>
                <w:spacing w:val="-2"/>
                <w:sz w:val="20"/>
                <w:szCs w:val="20"/>
                <w:lang w:eastAsia="zh-CN"/>
              </w:rPr>
              <w:t xml:space="preserve"> </w:t>
            </w:r>
            <w:r>
              <w:rPr>
                <w:rFonts w:cs="Arial Unicode MS" w:asciiTheme="minorEastAsia" w:hAnsiTheme="minorEastAsia"/>
                <w:spacing w:val="-5"/>
                <w:w w:val="101"/>
                <w:sz w:val="20"/>
                <w:szCs w:val="20"/>
                <w:lang w:eastAsia="zh-CN"/>
              </w:rPr>
              <w:t>治</w:t>
            </w:r>
            <w:r>
              <w:rPr>
                <w:rFonts w:cs="Arial Unicode MS" w:asciiTheme="minorEastAsia" w:hAnsiTheme="minorEastAsia"/>
                <w:w w:val="101"/>
                <w:sz w:val="20"/>
                <w:szCs w:val="20"/>
                <w:lang w:eastAsia="zh-CN"/>
              </w:rPr>
              <w:t>疗</w:t>
            </w:r>
            <w:r>
              <w:rPr>
                <w:rFonts w:cs="Arial Unicode MS" w:asciiTheme="minorEastAsia" w:hAnsiTheme="minorEastAsia"/>
                <w:spacing w:val="-5"/>
                <w:w w:val="101"/>
                <w:sz w:val="20"/>
                <w:szCs w:val="20"/>
                <w:lang w:eastAsia="zh-CN"/>
              </w:rPr>
              <w:t>方</w:t>
            </w:r>
            <w:r>
              <w:rPr>
                <w:rFonts w:cs="Arial Unicode MS" w:asciiTheme="minorEastAsia" w:hAnsiTheme="minorEastAsia"/>
                <w:w w:val="101"/>
                <w:sz w:val="20"/>
                <w:szCs w:val="20"/>
                <w:lang w:eastAsia="zh-CN"/>
              </w:rPr>
              <w:t>案</w:t>
            </w:r>
            <w:r>
              <w:rPr>
                <w:rFonts w:cs="Arial Unicode MS" w:asciiTheme="minorEastAsia" w:hAnsiTheme="minorEastAsia"/>
                <w:spacing w:val="-5"/>
                <w:w w:val="101"/>
                <w:sz w:val="20"/>
                <w:szCs w:val="20"/>
                <w:lang w:eastAsia="zh-CN"/>
              </w:rPr>
              <w:t>推</w:t>
            </w:r>
            <w:r>
              <w:rPr>
                <w:rFonts w:cs="Arial Unicode MS" w:asciiTheme="minorEastAsia" w:hAnsiTheme="minorEastAsia"/>
                <w:w w:val="101"/>
                <w:sz w:val="20"/>
                <w:szCs w:val="20"/>
                <w:lang w:eastAsia="zh-CN"/>
              </w:rPr>
              <w:t>荐</w:t>
            </w:r>
            <w:r>
              <w:rPr>
                <w:rFonts w:cs="Arial Unicode MS" w:asciiTheme="minorEastAsia" w:hAnsiTheme="minorEastAsia"/>
                <w:spacing w:val="-5"/>
                <w:w w:val="101"/>
                <w:sz w:val="20"/>
                <w:szCs w:val="20"/>
                <w:lang w:eastAsia="zh-CN"/>
              </w:rPr>
              <w:t>，</w:t>
            </w:r>
            <w:r>
              <w:rPr>
                <w:rFonts w:cs="Arial Unicode MS" w:asciiTheme="minorEastAsia" w:hAnsiTheme="minorEastAsia"/>
                <w:w w:val="101"/>
                <w:sz w:val="20"/>
                <w:szCs w:val="20"/>
                <w:lang w:eastAsia="zh-CN"/>
              </w:rPr>
              <w:t>并</w:t>
            </w:r>
            <w:r>
              <w:rPr>
                <w:rFonts w:hint="eastAsia" w:cs="Arial Unicode MS" w:asciiTheme="minorEastAsia" w:hAnsiTheme="minorEastAsia"/>
                <w:w w:val="101"/>
                <w:sz w:val="20"/>
                <w:szCs w:val="20"/>
                <w:lang w:eastAsia="zh-CN"/>
              </w:rPr>
              <w:t>支持</w:t>
            </w:r>
            <w:r>
              <w:rPr>
                <w:rFonts w:cs="Arial Unicode MS" w:asciiTheme="minorEastAsia" w:hAnsiTheme="minorEastAsia"/>
                <w:w w:val="101"/>
                <w:sz w:val="20"/>
                <w:szCs w:val="20"/>
                <w:lang w:eastAsia="zh-CN"/>
              </w:rPr>
              <w:t>与</w:t>
            </w:r>
            <w:r>
              <w:rPr>
                <w:rFonts w:cs="Arial Unicode MS" w:asciiTheme="minorEastAsia" w:hAnsiTheme="minorEastAsia"/>
                <w:spacing w:val="-7"/>
                <w:sz w:val="20"/>
                <w:szCs w:val="20"/>
                <w:lang w:eastAsia="zh-CN"/>
              </w:rPr>
              <w:t xml:space="preserve"> </w:t>
            </w:r>
            <w:r>
              <w:rPr>
                <w:rFonts w:cs="Times New Roman" w:asciiTheme="minorEastAsia" w:hAnsiTheme="minorEastAsia"/>
                <w:spacing w:val="-5"/>
                <w:w w:val="75"/>
                <w:sz w:val="20"/>
                <w:szCs w:val="20"/>
                <w:lang w:eastAsia="zh-CN"/>
              </w:rPr>
              <w:t>C</w:t>
            </w:r>
            <w:r>
              <w:rPr>
                <w:rFonts w:cs="Times New Roman" w:asciiTheme="minorEastAsia" w:hAnsiTheme="minorEastAsia"/>
                <w:w w:val="80"/>
                <w:sz w:val="20"/>
                <w:szCs w:val="20"/>
                <w:lang w:eastAsia="zh-CN"/>
              </w:rPr>
              <w:t>POE</w:t>
            </w:r>
            <w:r>
              <w:rPr>
                <w:rFonts w:cs="Times New Roman" w:asciiTheme="minorEastAsia" w:hAnsiTheme="minorEastAsia"/>
                <w:spacing w:val="-2"/>
                <w:sz w:val="20"/>
                <w:szCs w:val="20"/>
                <w:lang w:eastAsia="zh-CN"/>
              </w:rPr>
              <w:t xml:space="preserve"> </w:t>
            </w:r>
            <w:r>
              <w:rPr>
                <w:rFonts w:cs="Arial Unicode MS" w:asciiTheme="minorEastAsia" w:hAnsiTheme="minorEastAsia"/>
                <w:spacing w:val="-5"/>
                <w:w w:val="101"/>
                <w:sz w:val="20"/>
                <w:szCs w:val="20"/>
                <w:lang w:eastAsia="zh-CN"/>
              </w:rPr>
              <w:t>系</w:t>
            </w:r>
            <w:r>
              <w:rPr>
                <w:rFonts w:cs="Arial Unicode MS" w:asciiTheme="minorEastAsia" w:hAnsiTheme="minorEastAsia"/>
                <w:w w:val="101"/>
                <w:sz w:val="20"/>
                <w:szCs w:val="20"/>
                <w:lang w:eastAsia="zh-CN"/>
              </w:rPr>
              <w:t>统</w:t>
            </w:r>
            <w:r>
              <w:rPr>
                <w:rFonts w:cs="Arial Unicode MS" w:asciiTheme="minorEastAsia" w:hAnsiTheme="minorEastAsia"/>
                <w:spacing w:val="-5"/>
                <w:w w:val="101"/>
                <w:sz w:val="20"/>
                <w:szCs w:val="20"/>
                <w:lang w:eastAsia="zh-CN"/>
              </w:rPr>
              <w:t>集</w:t>
            </w:r>
            <w:r>
              <w:rPr>
                <w:rFonts w:cs="Arial Unicode MS" w:asciiTheme="minorEastAsia" w:hAnsiTheme="minorEastAsia"/>
                <w:w w:val="101"/>
                <w:sz w:val="20"/>
                <w:szCs w:val="20"/>
                <w:lang w:eastAsia="zh-CN"/>
              </w:rPr>
              <w:t>成</w:t>
            </w:r>
            <w:r>
              <w:rPr>
                <w:rFonts w:cs="Arial Unicode MS" w:asciiTheme="minorEastAsia" w:hAnsiTheme="minorEastAsia"/>
                <w:spacing w:val="-5"/>
                <w:w w:val="101"/>
                <w:sz w:val="20"/>
                <w:szCs w:val="20"/>
                <w:lang w:eastAsia="zh-CN"/>
              </w:rPr>
              <w:t>（</w:t>
            </w:r>
            <w:r>
              <w:rPr>
                <w:rFonts w:cs="Arial Unicode MS" w:asciiTheme="minorEastAsia" w:hAnsiTheme="minorEastAsia"/>
                <w:w w:val="101"/>
                <w:sz w:val="20"/>
                <w:szCs w:val="20"/>
                <w:lang w:eastAsia="zh-CN"/>
              </w:rPr>
              <w:t>需</w:t>
            </w:r>
            <w:r>
              <w:rPr>
                <w:rFonts w:cs="Arial Unicode MS" w:asciiTheme="minorEastAsia" w:hAnsiTheme="minorEastAsia"/>
                <w:spacing w:val="-5"/>
                <w:w w:val="101"/>
                <w:sz w:val="20"/>
                <w:szCs w:val="20"/>
                <w:lang w:eastAsia="zh-CN"/>
              </w:rPr>
              <w:t>要</w:t>
            </w:r>
            <w:r>
              <w:rPr>
                <w:rFonts w:cs="Arial Unicode MS" w:asciiTheme="minorEastAsia" w:hAnsiTheme="minorEastAsia"/>
                <w:w w:val="101"/>
                <w:sz w:val="20"/>
                <w:szCs w:val="20"/>
                <w:lang w:eastAsia="zh-CN"/>
              </w:rPr>
              <w:t>提</w:t>
            </w:r>
            <w:r>
              <w:rPr>
                <w:rFonts w:cs="Arial Unicode MS" w:asciiTheme="minorEastAsia" w:hAnsiTheme="minorEastAsia"/>
                <w:spacing w:val="-5"/>
                <w:w w:val="101"/>
                <w:sz w:val="20"/>
                <w:szCs w:val="20"/>
                <w:lang w:eastAsia="zh-CN"/>
              </w:rPr>
              <w:t>供</w:t>
            </w:r>
            <w:r>
              <w:rPr>
                <w:rFonts w:cs="Arial Unicode MS" w:asciiTheme="minorEastAsia" w:hAnsiTheme="minorEastAsia"/>
                <w:w w:val="101"/>
                <w:sz w:val="20"/>
                <w:szCs w:val="20"/>
                <w:lang w:eastAsia="zh-CN"/>
              </w:rPr>
              <w:t>著</w:t>
            </w:r>
            <w:r>
              <w:rPr>
                <w:rFonts w:cs="Arial Unicode MS" w:asciiTheme="minorEastAsia" w:hAnsiTheme="minorEastAsia"/>
                <w:spacing w:val="-5"/>
                <w:w w:val="101"/>
                <w:sz w:val="20"/>
                <w:szCs w:val="20"/>
                <w:lang w:eastAsia="zh-CN"/>
              </w:rPr>
              <w:t>作</w:t>
            </w:r>
            <w:r>
              <w:rPr>
                <w:rFonts w:cs="Arial Unicode MS" w:asciiTheme="minorEastAsia" w:hAnsiTheme="minorEastAsia"/>
                <w:w w:val="101"/>
                <w:sz w:val="20"/>
                <w:szCs w:val="20"/>
                <w:lang w:eastAsia="zh-CN"/>
              </w:rPr>
              <w:t>权</w:t>
            </w:r>
            <w:r>
              <w:rPr>
                <w:rFonts w:cs="Arial Unicode MS" w:asciiTheme="minorEastAsia" w:hAnsiTheme="minorEastAsia"/>
                <w:spacing w:val="-5"/>
                <w:w w:val="101"/>
                <w:sz w:val="20"/>
                <w:szCs w:val="20"/>
                <w:lang w:eastAsia="zh-CN"/>
              </w:rPr>
              <w:t>或</w:t>
            </w:r>
            <w:r>
              <w:rPr>
                <w:rFonts w:cs="Arial Unicode MS" w:asciiTheme="minorEastAsia" w:hAnsiTheme="minorEastAsia"/>
                <w:w w:val="101"/>
                <w:sz w:val="20"/>
                <w:szCs w:val="20"/>
                <w:lang w:eastAsia="zh-CN"/>
              </w:rPr>
              <w:t>专</w:t>
            </w:r>
            <w:r>
              <w:rPr>
                <w:rFonts w:cs="Arial Unicode MS" w:asciiTheme="minorEastAsia" w:hAnsiTheme="minorEastAsia"/>
                <w:spacing w:val="-5"/>
                <w:w w:val="101"/>
                <w:sz w:val="20"/>
                <w:szCs w:val="20"/>
                <w:lang w:eastAsia="zh-CN"/>
              </w:rPr>
              <w:t>利</w:t>
            </w:r>
            <w:r>
              <w:rPr>
                <w:rFonts w:cs="Arial Unicode MS" w:asciiTheme="minorEastAsia" w:hAnsiTheme="minorEastAsia"/>
                <w:w w:val="101"/>
                <w:sz w:val="20"/>
                <w:szCs w:val="20"/>
                <w:lang w:eastAsia="zh-CN"/>
              </w:rPr>
              <w:t>相</w:t>
            </w:r>
            <w:r>
              <w:rPr>
                <w:rFonts w:cs="Arial Unicode MS" w:asciiTheme="minorEastAsia" w:hAnsiTheme="minorEastAsia"/>
                <w:spacing w:val="-5"/>
                <w:w w:val="101"/>
                <w:sz w:val="20"/>
                <w:szCs w:val="20"/>
                <w:lang w:eastAsia="zh-CN"/>
              </w:rPr>
              <w:t>关</w:t>
            </w:r>
            <w:r>
              <w:rPr>
                <w:rFonts w:cs="Arial Unicode MS" w:asciiTheme="minorEastAsia" w:hAnsiTheme="minorEastAsia"/>
                <w:w w:val="101"/>
                <w:sz w:val="20"/>
                <w:szCs w:val="20"/>
                <w:lang w:eastAsia="zh-CN"/>
              </w:rPr>
              <w:t>证</w:t>
            </w:r>
            <w:r>
              <w:rPr>
                <w:rFonts w:cs="Arial Unicode MS" w:asciiTheme="minorEastAsia" w:hAnsiTheme="minorEastAsia"/>
                <w:spacing w:val="-5"/>
                <w:w w:val="101"/>
                <w:sz w:val="20"/>
                <w:szCs w:val="20"/>
                <w:lang w:eastAsia="zh-CN"/>
              </w:rPr>
              <w:t>明</w:t>
            </w:r>
            <w:r>
              <w:rPr>
                <w:rFonts w:cs="Arial Unicode MS" w:asciiTheme="minorEastAsia" w:hAnsiTheme="minorEastAsia"/>
                <w:w w:val="101"/>
                <w:sz w:val="20"/>
                <w:szCs w:val="20"/>
                <w:lang w:eastAsia="zh-CN"/>
              </w:rPr>
              <w:t>文</w:t>
            </w:r>
            <w:r>
              <w:rPr>
                <w:rFonts w:cs="Arial Unicode MS" w:asciiTheme="minorEastAsia" w:hAnsiTheme="minorEastAsia"/>
                <w:spacing w:val="-5"/>
                <w:w w:val="101"/>
                <w:sz w:val="20"/>
                <w:szCs w:val="20"/>
                <w:lang w:eastAsia="zh-CN"/>
              </w:rPr>
              <w:t>件</w:t>
            </w:r>
            <w:r>
              <w:rPr>
                <w:rFonts w:cs="Arial Unicode MS" w:asciiTheme="minorEastAsia" w:hAnsiTheme="minorEastAsia"/>
                <w:w w:val="10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tcPr>
          <w:p>
            <w:pPr>
              <w:widowControl/>
              <w:rPr>
                <w:rFonts w:ascii="宋体" w:hAnsi="宋体" w:cs="宋体"/>
                <w:sz w:val="20"/>
                <w:szCs w:val="20"/>
                <w:lang w:eastAsia="zh-CN"/>
              </w:rPr>
            </w:pPr>
            <w:r>
              <w:rPr>
                <w:rFonts w:cs="Arial Unicode MS" w:asciiTheme="minorEastAsia" w:hAnsiTheme="minorEastAsia"/>
                <w:spacing w:val="-4"/>
                <w:sz w:val="20"/>
                <w:szCs w:val="20"/>
                <w:lang w:eastAsia="zh-CN"/>
              </w:rPr>
              <w:t>根据诊断给出常规用药的建议提示，可基于个体化实现（比如年龄、体重、体表面积等因子进行</w:t>
            </w:r>
            <w:r>
              <w:rPr>
                <w:rFonts w:cs="Arial Unicode MS" w:asciiTheme="minorEastAsia" w:hAnsiTheme="minorEastAsia"/>
                <w:spacing w:val="47"/>
                <w:sz w:val="20"/>
                <w:szCs w:val="20"/>
                <w:lang w:eastAsia="zh-CN"/>
              </w:rPr>
              <w:t xml:space="preserve"> </w:t>
            </w:r>
            <w:r>
              <w:rPr>
                <w:rFonts w:cs="Arial Unicode MS" w:asciiTheme="minorEastAsia" w:hAnsiTheme="minorEastAsia"/>
                <w:sz w:val="20"/>
                <w:szCs w:val="20"/>
                <w:lang w:eastAsia="zh-CN"/>
              </w:rPr>
              <w:t>用量换算），并</w:t>
            </w:r>
            <w:r>
              <w:rPr>
                <w:rFonts w:hint="eastAsia" w:cs="Arial Unicode MS" w:asciiTheme="minorEastAsia" w:hAnsiTheme="minorEastAsia"/>
                <w:w w:val="101"/>
                <w:sz w:val="20"/>
                <w:szCs w:val="20"/>
                <w:lang w:eastAsia="zh-CN"/>
              </w:rPr>
              <w:t>支持</w:t>
            </w:r>
            <w:r>
              <w:rPr>
                <w:rFonts w:cs="Arial Unicode MS" w:asciiTheme="minorEastAsia" w:hAnsiTheme="minorEastAsia"/>
                <w:sz w:val="20"/>
                <w:szCs w:val="20"/>
                <w:lang w:eastAsia="zh-CN"/>
              </w:rPr>
              <w:t>现与</w:t>
            </w:r>
            <w:r>
              <w:rPr>
                <w:rFonts w:cs="Arial Unicode MS" w:asciiTheme="minorEastAsia" w:hAnsiTheme="minorEastAsia"/>
                <w:spacing w:val="-25"/>
                <w:sz w:val="20"/>
                <w:szCs w:val="20"/>
                <w:lang w:eastAsia="zh-CN"/>
              </w:rPr>
              <w:t xml:space="preserve"> </w:t>
            </w:r>
            <w:r>
              <w:rPr>
                <w:rFonts w:cs="Times New Roman" w:asciiTheme="minorEastAsia" w:hAnsiTheme="minorEastAsia"/>
                <w:sz w:val="20"/>
                <w:szCs w:val="20"/>
                <w:lang w:eastAsia="zh-CN"/>
              </w:rPr>
              <w:t>CPOE</w:t>
            </w:r>
            <w:r>
              <w:rPr>
                <w:rFonts w:cs="Times New Roman" w:asciiTheme="minorEastAsia" w:hAnsiTheme="minorEastAsia"/>
                <w:spacing w:val="-23"/>
                <w:sz w:val="20"/>
                <w:szCs w:val="20"/>
                <w:lang w:eastAsia="zh-CN"/>
              </w:rPr>
              <w:t xml:space="preserve"> </w:t>
            </w:r>
            <w:r>
              <w:rPr>
                <w:rFonts w:cs="Arial Unicode MS" w:asciiTheme="minorEastAsia" w:hAnsiTheme="minorEastAsia"/>
                <w:spacing w:val="-3"/>
                <w:sz w:val="20"/>
                <w:szCs w:val="20"/>
                <w:lang w:eastAsia="zh-CN"/>
              </w:rPr>
              <w:t>系统集成。（需要提供功能效果证明截图）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tcPr>
          <w:p>
            <w:pPr>
              <w:widowControl/>
              <w:rPr>
                <w:rFonts w:ascii="宋体" w:hAnsi="宋体" w:cs="宋体"/>
                <w:sz w:val="20"/>
                <w:szCs w:val="20"/>
                <w:lang w:eastAsia="zh-CN"/>
              </w:rPr>
            </w:pPr>
            <w:r>
              <w:rPr>
                <w:rFonts w:cs="Arial Unicode MS" w:asciiTheme="minorEastAsia" w:hAnsiTheme="minorEastAsia"/>
                <w:spacing w:val="-3"/>
                <w:sz w:val="20"/>
                <w:szCs w:val="20"/>
                <w:lang w:eastAsia="zh-CN"/>
              </w:rPr>
              <w:t>华法林用药治疗方案推荐，并</w:t>
            </w:r>
            <w:r>
              <w:rPr>
                <w:rFonts w:hint="eastAsia" w:cs="Arial Unicode MS" w:asciiTheme="minorEastAsia" w:hAnsiTheme="minorEastAsia"/>
                <w:w w:val="101"/>
                <w:sz w:val="20"/>
                <w:szCs w:val="20"/>
                <w:lang w:eastAsia="zh-CN"/>
              </w:rPr>
              <w:t>支持</w:t>
            </w:r>
            <w:r>
              <w:rPr>
                <w:rFonts w:cs="Arial Unicode MS" w:asciiTheme="minorEastAsia" w:hAnsiTheme="minorEastAsia"/>
                <w:spacing w:val="-3"/>
                <w:sz w:val="20"/>
                <w:szCs w:val="20"/>
                <w:lang w:eastAsia="zh-CN"/>
              </w:rPr>
              <w:t>与</w:t>
            </w:r>
            <w:r>
              <w:rPr>
                <w:rFonts w:cs="Times New Roman" w:asciiTheme="minorEastAsia" w:hAnsiTheme="minorEastAsia"/>
                <w:sz w:val="20"/>
                <w:szCs w:val="20"/>
                <w:lang w:eastAsia="zh-CN"/>
              </w:rPr>
              <w:t>CPOE</w:t>
            </w:r>
            <w:r>
              <w:rPr>
                <w:rFonts w:cs="Times New Roman" w:asciiTheme="minorEastAsia" w:hAnsiTheme="minorEastAsia"/>
                <w:spacing w:val="40"/>
                <w:sz w:val="20"/>
                <w:szCs w:val="20"/>
                <w:lang w:eastAsia="zh-CN"/>
              </w:rPr>
              <w:t xml:space="preserve"> </w:t>
            </w:r>
            <w:r>
              <w:rPr>
                <w:rFonts w:cs="Arial Unicode MS" w:asciiTheme="minorEastAsia" w:hAnsiTheme="minorEastAsia"/>
                <w:spacing w:val="-3"/>
                <w:sz w:val="20"/>
                <w:szCs w:val="20"/>
                <w:lang w:eastAsia="zh-CN"/>
              </w:rPr>
              <w:t>系统集成（需要提供著作权或专利相关证明文件）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tcPr>
          <w:p>
            <w:pPr>
              <w:widowControl/>
              <w:rPr>
                <w:rFonts w:ascii="宋体" w:hAnsi="宋体" w:cs="宋体"/>
                <w:sz w:val="20"/>
                <w:szCs w:val="20"/>
                <w:lang w:eastAsia="zh-CN"/>
              </w:rPr>
            </w:pPr>
            <w:r>
              <w:rPr>
                <w:rFonts w:cs="Arial Unicode MS" w:asciiTheme="minorEastAsia" w:hAnsiTheme="minorEastAsia"/>
                <w:w w:val="95"/>
                <w:sz w:val="20"/>
                <w:szCs w:val="20"/>
                <w:lang w:eastAsia="zh-CN"/>
              </w:rPr>
              <w:t xml:space="preserve">护理 </w:t>
            </w:r>
            <w:r>
              <w:rPr>
                <w:rFonts w:cs="Times New Roman" w:asciiTheme="minorEastAsia" w:hAnsiTheme="minorEastAsia"/>
                <w:w w:val="95"/>
                <w:sz w:val="20"/>
                <w:szCs w:val="20"/>
                <w:lang w:eastAsia="zh-CN"/>
              </w:rPr>
              <w:t xml:space="preserve">PEWS/MEWS </w:t>
            </w:r>
            <w:r>
              <w:rPr>
                <w:rFonts w:cs="Arial Unicode MS" w:asciiTheme="minorEastAsia" w:hAnsiTheme="minorEastAsia"/>
                <w:w w:val="95"/>
                <w:sz w:val="20"/>
                <w:szCs w:val="20"/>
                <w:lang w:eastAsia="zh-CN"/>
              </w:rPr>
              <w:t>早期预警评分，</w:t>
            </w:r>
            <w:r>
              <w:rPr>
                <w:rFonts w:cs="Times New Roman" w:asciiTheme="minorEastAsia" w:hAnsiTheme="minorEastAsia"/>
                <w:w w:val="95"/>
                <w:sz w:val="20"/>
                <w:szCs w:val="20"/>
                <w:lang w:eastAsia="zh-CN"/>
              </w:rPr>
              <w:t xml:space="preserve">CDSS </w:t>
            </w:r>
            <w:r>
              <w:rPr>
                <w:rFonts w:cs="Arial Unicode MS" w:asciiTheme="minorEastAsia" w:hAnsiTheme="minorEastAsia"/>
                <w:spacing w:val="-3"/>
                <w:w w:val="95"/>
                <w:sz w:val="20"/>
                <w:szCs w:val="20"/>
                <w:lang w:eastAsia="zh-CN"/>
              </w:rPr>
              <w:t>满足医护互通业务流程的实现。（需要提供功能效果证明</w:t>
            </w:r>
            <w:r>
              <w:rPr>
                <w:rFonts w:cs="Arial Unicode MS" w:asciiTheme="minorEastAsia" w:hAnsiTheme="minorEastAsia"/>
                <w:spacing w:val="4"/>
                <w:w w:val="95"/>
                <w:sz w:val="20"/>
                <w:szCs w:val="20"/>
                <w:lang w:eastAsia="zh-CN"/>
              </w:rPr>
              <w:t xml:space="preserve"> </w:t>
            </w:r>
            <w:r>
              <w:rPr>
                <w:rFonts w:cs="Arial Unicode MS" w:asciiTheme="minorEastAsia" w:hAnsiTheme="minorEastAsia"/>
                <w:sz w:val="20"/>
                <w:szCs w:val="20"/>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tcPr>
          <w:p>
            <w:pPr>
              <w:widowControl/>
              <w:rPr>
                <w:rFonts w:ascii="宋体" w:hAnsi="宋体" w:cs="宋体"/>
                <w:sz w:val="20"/>
                <w:szCs w:val="20"/>
                <w:lang w:eastAsia="zh-CN"/>
              </w:rPr>
            </w:pPr>
            <w:r>
              <w:rPr>
                <w:rFonts w:cs="Arial Unicode MS" w:asciiTheme="minorEastAsia" w:hAnsiTheme="minorEastAsia"/>
                <w:spacing w:val="-4"/>
                <w:sz w:val="20"/>
                <w:szCs w:val="20"/>
                <w:lang w:eastAsia="zh-CN"/>
              </w:rPr>
              <w:t>根据初步诊断，推荐辅助检验、检查的建议提示，并提供对应的参考标准。（需要提供功能效果</w:t>
            </w:r>
            <w:r>
              <w:rPr>
                <w:rFonts w:cs="Arial Unicode MS" w:asciiTheme="minorEastAsia" w:hAnsiTheme="minorEastAsia"/>
                <w:spacing w:val="49"/>
                <w:sz w:val="20"/>
                <w:szCs w:val="20"/>
                <w:lang w:eastAsia="zh-CN"/>
              </w:rPr>
              <w:t xml:space="preserve"> </w:t>
            </w:r>
            <w:r>
              <w:rPr>
                <w:rFonts w:cs="Arial Unicode MS" w:asciiTheme="minorEastAsia" w:hAnsiTheme="minorEastAsia"/>
                <w:sz w:val="20"/>
                <w:szCs w:val="20"/>
                <w:lang w:eastAsia="zh-CN"/>
              </w:rPr>
              <w:t>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tcPr>
          <w:p>
            <w:pPr>
              <w:widowControl/>
              <w:rPr>
                <w:rFonts w:ascii="宋体" w:hAnsi="宋体" w:cs="宋体"/>
                <w:sz w:val="20"/>
                <w:szCs w:val="20"/>
                <w:lang w:eastAsia="zh-CN"/>
              </w:rPr>
            </w:pPr>
            <w:r>
              <w:rPr>
                <w:rFonts w:cs="Arial Unicode MS" w:asciiTheme="minorEastAsia" w:hAnsiTheme="minorEastAsia"/>
                <w:spacing w:val="-3"/>
                <w:w w:val="105"/>
                <w:sz w:val="20"/>
                <w:szCs w:val="20"/>
                <w:lang w:eastAsia="zh-CN"/>
              </w:rPr>
              <w:t>药品适应证优化分析。（需要提供著作权或专利相关证明文件）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tcPr>
          <w:p>
            <w:pPr>
              <w:widowControl/>
              <w:rPr>
                <w:rFonts w:ascii="宋体" w:hAnsi="宋体" w:cs="宋体"/>
                <w:sz w:val="20"/>
                <w:szCs w:val="20"/>
                <w:lang w:eastAsia="zh-CN"/>
              </w:rPr>
            </w:pPr>
            <w:r>
              <w:rPr>
                <w:rFonts w:cs="Arial Unicode MS" w:asciiTheme="minorEastAsia" w:hAnsiTheme="minorEastAsia"/>
                <w:spacing w:val="-3"/>
                <w:w w:val="105"/>
                <w:sz w:val="20"/>
                <w:szCs w:val="20"/>
                <w:lang w:eastAsia="zh-CN"/>
              </w:rPr>
              <w:t>药物不良反应实时监测警示。（需要提供著作权或专利相关证明文件）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shd w:val="clear" w:color="auto" w:fill="auto"/>
            <w:vAlign w:val="center"/>
          </w:tcPr>
          <w:p>
            <w:pPr>
              <w:widowControl/>
              <w:rPr>
                <w:rFonts w:ascii="宋体" w:hAnsi="宋体" w:cs="宋体"/>
                <w:sz w:val="20"/>
                <w:szCs w:val="20"/>
                <w:lang w:eastAsia="zh-CN"/>
              </w:rPr>
            </w:pP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根据初步诊断，推荐辅助检验检查的建议提示，并提供对应的参考标准。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shd w:val="clear" w:color="auto" w:fill="auto"/>
            <w:vAlign w:val="center"/>
          </w:tcPr>
          <w:p>
            <w:pPr>
              <w:widowControl/>
              <w:rPr>
                <w:rFonts w:ascii="宋体" w:hAnsi="宋体" w:cs="宋体"/>
                <w:sz w:val="20"/>
                <w:szCs w:val="20"/>
                <w:lang w:eastAsia="zh-CN"/>
              </w:rPr>
            </w:pP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根据诊断及临床路径自动给出需要检验的建议提示。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shd w:val="clear" w:color="auto" w:fill="auto"/>
            <w:vAlign w:val="center"/>
          </w:tcPr>
          <w:p>
            <w:pPr>
              <w:widowControl/>
              <w:rPr>
                <w:rFonts w:ascii="宋体" w:hAnsi="宋体" w:cs="宋体"/>
                <w:sz w:val="20"/>
                <w:szCs w:val="20"/>
                <w:lang w:eastAsia="zh-CN"/>
              </w:rPr>
            </w:pP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根据诊断及临床路径自动给出需要检查的建议提示。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shd w:val="clear" w:color="auto" w:fill="auto"/>
            <w:vAlign w:val="center"/>
          </w:tcPr>
          <w:p>
            <w:pPr>
              <w:widowControl/>
              <w:rPr>
                <w:rFonts w:ascii="宋体" w:hAnsi="宋体" w:cs="宋体"/>
                <w:sz w:val="20"/>
                <w:szCs w:val="20"/>
                <w:lang w:eastAsia="zh-CN"/>
              </w:rPr>
            </w:pP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根据诊断自动给出相关的鉴别诊断的参考提示。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shd w:val="clear" w:color="auto" w:fill="auto"/>
            <w:vAlign w:val="center"/>
          </w:tcPr>
          <w:p>
            <w:pPr>
              <w:widowControl/>
              <w:rPr>
                <w:rFonts w:ascii="宋体" w:hAnsi="宋体" w:cs="宋体"/>
                <w:sz w:val="20"/>
                <w:szCs w:val="20"/>
                <w:lang w:eastAsia="zh-CN"/>
              </w:rPr>
            </w:pP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根据检验、检查、体征结果进行解读后，推荐诊疗方案的建议提示。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shd w:val="clear" w:color="auto" w:fill="auto"/>
            <w:vAlign w:val="center"/>
          </w:tcPr>
          <w:p>
            <w:pPr>
              <w:widowControl/>
              <w:rPr>
                <w:rFonts w:ascii="宋体" w:hAnsi="宋体" w:cs="宋体"/>
                <w:sz w:val="20"/>
                <w:szCs w:val="20"/>
                <w:lang w:eastAsia="zh-CN"/>
              </w:rPr>
            </w:pPr>
          </w:p>
        </w:tc>
        <w:tc>
          <w:tcPr>
            <w:tcW w:w="7938" w:type="dxa"/>
            <w:shd w:val="clear" w:color="000000" w:fill="FFFFFF"/>
            <w:vAlign w:val="center"/>
          </w:tcPr>
          <w:p>
            <w:pPr>
              <w:widowControl/>
              <w:rPr>
                <w:rFonts w:ascii="宋体" w:hAnsi="宋体" w:cs="宋体"/>
                <w:sz w:val="20"/>
                <w:szCs w:val="20"/>
                <w:lang w:eastAsia="zh-CN"/>
              </w:rPr>
            </w:pPr>
            <w:r>
              <w:rPr>
                <w:rFonts w:hint="eastAsia" w:ascii="宋体" w:hAnsi="宋体" w:cs="宋体"/>
                <w:sz w:val="20"/>
                <w:szCs w:val="20"/>
                <w:lang w:eastAsia="zh-CN"/>
              </w:rPr>
              <w:t>根据药物推荐检查、检验的建议提示。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围手术期预防性抗生素推荐。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手术前必需进行的检验检查项目及相关指标风险提示。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555" w:type="dxa"/>
            <w:vMerge w:val="restart"/>
            <w:vAlign w:val="center"/>
          </w:tcPr>
          <w:p>
            <w:pPr>
              <w:widowControl/>
              <w:rPr>
                <w:rFonts w:ascii="宋体" w:hAnsi="宋体" w:cs="宋体"/>
                <w:sz w:val="20"/>
                <w:szCs w:val="20"/>
              </w:rPr>
            </w:pPr>
            <w:r>
              <w:rPr>
                <w:rFonts w:hint="eastAsia" w:ascii="宋体" w:hAnsi="宋体" w:cs="宋体"/>
                <w:sz w:val="20"/>
                <w:szCs w:val="20"/>
              </w:rPr>
              <w:t>安全警戒</w:t>
            </w: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合理用药分析：禁忌症、适应证、过敏、常规量、极量、给药途径、给药频次、特殊人群、性别、年龄、重复用药、相互作用、配伍禁忌、配伍浓度、溶媒黑白名单、药敏。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rPr>
            </w:pPr>
            <w:r>
              <w:rPr>
                <w:rFonts w:hint="eastAsia" w:ascii="宋体" w:hAnsi="宋体" w:cs="宋体"/>
                <w:sz w:val="20"/>
                <w:szCs w:val="20"/>
              </w:rPr>
              <w:t>药物不良反应提示。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重复进行检查或检验申请提示。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检验项目存在包含关系提示。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危急值提示：检验危急值、检查危急值，支持按照不同的年龄、性别、诊断等设置不同的参考值。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检验与检验冲突提示：不能在同一段时间内进行的项目、需要注意先后顺序的项目。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检查与检查冲突提示：不能再同一天进行的项目、需要注意先后顺序的项目、检查所使用制剂会影响其他检查的项目。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检查与检验冲突提示：不能再同一天进行的项目、需要注意先后顺序的项目、检查所使用制剂会影响其他检验的项目。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诊断与性别冲突提示。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诊断与年龄冲突提示。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诊断与检验冲突提示：检验禁忌症、诊断与检验结果冲突。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诊断与检查冲突提示：检查禁忌症、诊断与检查结果冲突。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药品与检验冲突提示：检验异常禁忌药物、药物影响检验结果。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药品与检查冲突提示：药物影响检查结果、药物禁忌检查。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检查与性别冲突提示。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检验与性别冲突提示。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特殊病生理检验、检查冲突提示：新生儿、老人、孕期检验检查警示等。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手术风险提示：检验、检查、生命体征异常等。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治疗风险提示：检验、检查、生命体征异常等。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手术项目注意事项提示。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治疗项目注意事项提示。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手术项目与性别冲突提示。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治疗项目与性别冲突提示。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手术项目与特殊人群冲突提示。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治疗项目与特殊人群冲突提示。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手术项目禁忌症提示。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治疗项目禁忌症提示。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围手术期用药风险提示。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restart"/>
            <w:vAlign w:val="center"/>
          </w:tcPr>
          <w:p>
            <w:pPr>
              <w:widowControl/>
              <w:rPr>
                <w:rFonts w:ascii="宋体" w:hAnsi="宋体" w:cs="宋体"/>
                <w:sz w:val="20"/>
                <w:szCs w:val="20"/>
              </w:rPr>
            </w:pPr>
            <w:r>
              <w:rPr>
                <w:rFonts w:hint="eastAsia" w:ascii="宋体" w:hAnsi="宋体" w:cs="宋体"/>
                <w:sz w:val="20"/>
                <w:szCs w:val="20"/>
              </w:rPr>
              <w:t>知识管理</w:t>
            </w: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提供药品说明书、禁忌症、注意事项等查询。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ascii="宋体" w:hAnsi="宋体" w:cs="宋体"/>
                <w:sz w:val="20"/>
                <w:szCs w:val="20"/>
                <w:lang w:eastAsia="zh-CN"/>
              </w:rPr>
              <w:t>提供护理评分及决策知识库。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ascii="宋体" w:hAnsi="宋体" w:cs="宋体"/>
                <w:sz w:val="20"/>
                <w:szCs w:val="20"/>
                <w:lang w:eastAsia="zh-CN"/>
              </w:rPr>
              <w:t>提供</w:t>
            </w:r>
            <w:r>
              <w:rPr>
                <w:rFonts w:hint="eastAsia" w:ascii="宋体" w:hAnsi="宋体" w:cs="宋体"/>
                <w:sz w:val="20"/>
                <w:szCs w:val="20"/>
                <w:lang w:eastAsia="zh-CN"/>
              </w:rPr>
              <w:t>手术、治疗、</w:t>
            </w:r>
            <w:r>
              <w:rPr>
                <w:rFonts w:ascii="宋体" w:hAnsi="宋体" w:cs="宋体"/>
                <w:sz w:val="20"/>
                <w:szCs w:val="20"/>
                <w:lang w:eastAsia="zh-CN"/>
              </w:rPr>
              <w:t>输血相关决策知识库。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提供临床路径、疾病诊疗指南等查询。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提供检验检查项目的适应症、禁忌症、参考值、标本、作用及临床意义等查询。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提供政策法规及医院自定义管理规范维护与查询。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支持基于搜索引擎技术的快速全文检索功能。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能够全面展示药品说明书、指导原则、指南、管理规范等客户自定义维护的内容。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系统基础知识库基础上，用户可自行进行基础知识库维护的高级工具，实现诊断、药品、检验、检查、手术、治疗知识的属性化、结构化，并做分类管理，实现规则的及时更新并应用于辅助决策分析引擎。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针对特定项目，可设置特殊提示信息，提示信息可自定义维护，支持新增、删除和修改并保留操作痕迹。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555" w:type="dxa"/>
            <w:vMerge w:val="restart"/>
            <w:vAlign w:val="center"/>
          </w:tcPr>
          <w:p>
            <w:pPr>
              <w:widowControl/>
              <w:rPr>
                <w:rFonts w:ascii="宋体" w:hAnsi="宋体" w:cs="宋体"/>
                <w:sz w:val="20"/>
                <w:szCs w:val="20"/>
              </w:rPr>
            </w:pPr>
            <w:r>
              <w:rPr>
                <w:rFonts w:hint="eastAsia" w:ascii="宋体" w:hAnsi="宋体" w:cs="宋体"/>
                <w:sz w:val="20"/>
                <w:szCs w:val="20"/>
              </w:rPr>
              <w:t>系统管理模块</w:t>
            </w: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系统运行所需要的基础字典数据维护配置管理，包含药品字典、疾病字典、给药途径字典、频次字典、检验字典、检查字典、手术字典、治疗字典等。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实现不同员工、角色访问特定菜单的权限管理设置。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系统运行或逻辑分析必须针对医院与系统信息存在差异但是同一对象的情况，提供对照映射功能，主要为疾病对照、药品对照、给药途径对照、频次对照、检验大项对照、检验细项对照、检查项目对照、手术项目对照、治疗项目对照等，形成映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分析及预警结果，应用于不同的临床业务工作站，通过与至少两个以上业务系统集成，以深度融合的方式或以浮动提示框的形式，实时对医生的用药方案、检验申请、检查申请、手术预约、治疗申请等医疗行为进行分析，实现辅助提示，实时对诊疗危险行为给予阻断、警戒或提示，直到医生修正或给予合理的执行理由。</w:t>
            </w:r>
            <w:r>
              <w:rPr>
                <w:rFonts w:cs="Arial Unicode MS" w:asciiTheme="minorEastAsia" w:hAnsiTheme="minorEastAsia"/>
                <w:spacing w:val="-3"/>
                <w:sz w:val="20"/>
                <w:szCs w:val="20"/>
                <w:lang w:eastAsia="zh-CN"/>
              </w:rPr>
              <w:t>（需要提供著作权或专利相关证明文件）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开放底层知识库管理，基于合理用药分析引擎、诊疗分析引擎、精准辅助决策模型引擎基础之上，客户根据实际业务需求，进行不同维度分析规则的自定义设置管理。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统计医生诊疗行为的分析拦截情况、提示情况、规则匹配情况等，支持从时间、科室、医生、规则类型等不同维度进行诊疗行为统计。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支持对集成接口的调用日志查询，方便快速追踪系统对接问题。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55" w:type="dxa"/>
            <w:vMerge w:val="continue"/>
            <w:vAlign w:val="center"/>
          </w:tcPr>
          <w:p>
            <w:pPr>
              <w:widowControl/>
              <w:rPr>
                <w:rFonts w:ascii="宋体" w:hAnsi="宋体" w:cs="宋体"/>
                <w:sz w:val="20"/>
                <w:szCs w:val="20"/>
                <w:lang w:eastAsia="zh-CN"/>
              </w:rPr>
            </w:pPr>
          </w:p>
        </w:tc>
        <w:tc>
          <w:tcPr>
            <w:tcW w:w="7938" w:type="dxa"/>
            <w:vAlign w:val="center"/>
          </w:tcPr>
          <w:p>
            <w:pPr>
              <w:widowControl/>
              <w:rPr>
                <w:rFonts w:ascii="宋体" w:hAnsi="宋体" w:cs="宋体"/>
                <w:sz w:val="20"/>
                <w:szCs w:val="20"/>
                <w:lang w:eastAsia="zh-CN"/>
              </w:rPr>
            </w:pPr>
            <w:r>
              <w:rPr>
                <w:rFonts w:hint="eastAsia" w:ascii="宋体" w:hAnsi="宋体" w:cs="宋体"/>
                <w:sz w:val="20"/>
                <w:szCs w:val="20"/>
                <w:lang w:eastAsia="zh-CN"/>
              </w:rPr>
              <w:t>提供知识库更新服务，分定期和不定期按需更新。</w:t>
            </w:r>
          </w:p>
        </w:tc>
      </w:tr>
    </w:tbl>
    <w:p>
      <w:pPr>
        <w:rPr>
          <w:lang w:eastAsia="zh-CN"/>
        </w:rPr>
      </w:pPr>
    </w:p>
    <w:p>
      <w:pPr>
        <w:rPr>
          <w:rFonts w:ascii="宋体" w:hAnsi="宋体" w:eastAsia="宋体" w:cs="Arial Unicode MS"/>
          <w:b/>
          <w:sz w:val="18"/>
          <w:szCs w:val="18"/>
          <w:lang w:eastAsia="zh-CN"/>
        </w:rPr>
      </w:pPr>
    </w:p>
    <w:p>
      <w:pPr>
        <w:pStyle w:val="4"/>
        <w:keepNext/>
        <w:keepLines/>
        <w:spacing w:before="326" w:after="163" w:line="360" w:lineRule="auto"/>
        <w:jc w:val="both"/>
        <w:rPr>
          <w:rFonts w:ascii="宋体" w:hAnsi="宋体" w:eastAsia="宋体"/>
          <w:sz w:val="24"/>
          <w:szCs w:val="24"/>
          <w:lang w:eastAsia="zh-CN"/>
        </w:rPr>
      </w:pPr>
      <w:bookmarkStart w:id="0" w:name="_Toc53216919"/>
      <w:bookmarkStart w:id="1" w:name="_Toc74339607"/>
      <w:r>
        <w:rPr>
          <w:rFonts w:hint="eastAsia" w:ascii="宋体" w:hAnsi="宋体" w:eastAsia="宋体"/>
          <w:sz w:val="24"/>
          <w:szCs w:val="24"/>
          <w:lang w:eastAsia="zh-CN"/>
        </w:rPr>
        <w:t>建设单病种知识库</w:t>
      </w:r>
      <w:bookmarkEnd w:id="0"/>
      <w:bookmarkEnd w:id="1"/>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功能</w:t>
            </w:r>
          </w:p>
        </w:tc>
        <w:tc>
          <w:tcPr>
            <w:tcW w:w="7230"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专科病种知识库</w:t>
            </w:r>
          </w:p>
        </w:tc>
        <w:tc>
          <w:tcPr>
            <w:tcW w:w="7230" w:type="dxa"/>
            <w:shd w:val="clear" w:color="auto" w:fill="auto"/>
            <w:noWrap/>
            <w:vAlign w:val="center"/>
          </w:tcPr>
          <w:p>
            <w:pPr>
              <w:spacing w:before="60" w:after="60" w:line="360" w:lineRule="auto"/>
              <w:rPr>
                <w:rFonts w:ascii="宋体" w:hAnsi="宋体" w:eastAsia="宋体" w:cs="宋体"/>
                <w:color w:val="000000"/>
                <w:szCs w:val="24"/>
                <w:lang w:eastAsia="zh-CN"/>
              </w:rPr>
            </w:pPr>
            <w:r>
              <w:rPr>
                <w:rFonts w:ascii="宋体" w:hAnsi="宋体" w:eastAsia="宋体" w:cs="Arial Unicode MS"/>
                <w:spacing w:val="-4"/>
                <w:sz w:val="20"/>
                <w:szCs w:val="20"/>
                <w:lang w:eastAsia="zh-CN"/>
              </w:rPr>
              <w:t>★</w:t>
            </w:r>
            <w:r>
              <w:rPr>
                <w:rFonts w:hint="eastAsia" w:ascii="宋体" w:hAnsi="宋体" w:eastAsia="宋体" w:cs="宋体"/>
                <w:color w:val="000000"/>
                <w:szCs w:val="24"/>
                <w:lang w:eastAsia="zh-CN"/>
              </w:rPr>
              <w:t>标准版本CDSS基础上，承诺可实现专科版临床决策支持系统结合临床路径形成的智能辅助诊疗体系建设，覆盖</w:t>
            </w:r>
            <w:r>
              <w:rPr>
                <w:rFonts w:ascii="宋体" w:hAnsi="宋体" w:eastAsia="宋体" w:cs="宋体"/>
                <w:color w:val="000000"/>
                <w:szCs w:val="24"/>
                <w:lang w:eastAsia="zh-CN"/>
              </w:rPr>
              <w:t>10</w:t>
            </w:r>
            <w:r>
              <w:rPr>
                <w:rFonts w:hint="eastAsia" w:ascii="宋体" w:hAnsi="宋体" w:eastAsia="宋体" w:cs="宋体"/>
                <w:color w:val="000000"/>
                <w:szCs w:val="24"/>
                <w:lang w:eastAsia="zh-CN"/>
              </w:rPr>
              <w:t>个病种知识库。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辅助诊疗</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通过分析患者门诊病历文书、检验检查报告，在门诊过程中进行实时辅助诊断，提示医生关联鉴别诊断，提供疾病辅助检验检查项目推荐、详细治疗方案文献推荐。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疾病分类分型</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通过入院后病程记录、检验/检查报告、生命体征的分析，智能评估疾病分类分型。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病情分级/病情评估</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实时监测患者相关诊疗数据，对患者病情进行智能分析提示，根据指南与专家经验对不同病情进行相关处置推荐。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入院指征</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分析患者诊疗数据，对符合入院指征的患者进行自动提示。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病原菌及药敏结果进行抗感染</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根据患者病原菌感染情况及药敏分析结果，推荐相关抗生素。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传染病监测</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通过对科室/病区内患者病原菌检测结果、诊断、用药等信息，自动发现并上报传染病。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EWS预警</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进行早期预警识别监测（OEWS/MEWS/PEWS/NEWS/GEWS），并自动通知护士、管床医生、主治医生、科主任等相关人员，对不同职责的人员提示不同的处理措施。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出入ICU标准</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对符合ICU指征的患者进行自动识别。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并发症</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自动监测常见并发症，并推荐相关处置建议，提供相关并发症处理文献查阅功能。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危急值监测</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主动监测诊疗过程中产生的实验室指标、检查结果、体征等数据，根据不同的患者类型，不同的疾病类型进行危急值主动提示。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对症治疗方案/治疗过程监测</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根据指南知识及专家经验，对治疗过程中出现的不同情况或异常情况进行主动监测，并推荐处置方案，提供循证医学资料查阅。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治疗方案调整评估</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对患者出现需要调整治疗方案情况时进行主动监测，提示医生调整方案，提供处置方案依据查阅。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用药前/治疗前风险评估</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开具医嘱时对患者禁忌症、风险指标等进行安全检测，自动拦截有风险的用药或治疗行为。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药物不良反应</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通过监测患者检验报告、病程记录、用药记录、并发症等数据，自动监测疑似不良反应，推荐缓解药物。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手术前/治疗前风险评估</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主动监测诊疗过程中产生的实验室指标、检查结果、体征等数据，对手术/治疗前风险进行自动监测。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手术前/治疗前禁忌症</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对手术/治疗前禁忌症进行自动监测预警。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预防性抗生素推荐</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根据抗菌药物指导原则，根据不同的手术级别与手术切口类型，进行预防性抗生素推荐。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手术后/治疗后并发症及处理</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主动监测患者术后诊疗数据，主动发现术后并发症并提示相关处理措施，提供循证文献查询。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非计划再次手术指征</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对符合非计划再次手术指征的患者进行主动监测与预警。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出院标准/病情好转标准</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通过分析患者诊疗数据，提示患者符合出院指征。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病情加重/恶化评估</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主动监测患者诊疗数据，当患者出现病情加重、恶化情况时进行主动监测及推荐处理措施。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63" w:type="dxa"/>
            <w:shd w:val="clear" w:color="auto" w:fill="auto"/>
            <w:noWrap/>
            <w:vAlign w:val="center"/>
          </w:tcPr>
          <w:p>
            <w:pPr>
              <w:widowControl/>
              <w:rPr>
                <w:rFonts w:ascii="宋体" w:hAnsi="宋体" w:eastAsia="宋体" w:cs="宋体"/>
                <w:color w:val="000000"/>
                <w:szCs w:val="24"/>
              </w:rPr>
            </w:pPr>
            <w:r>
              <w:rPr>
                <w:rFonts w:hint="eastAsia" w:ascii="宋体" w:hAnsi="宋体" w:eastAsia="宋体" w:cs="宋体"/>
                <w:color w:val="000000"/>
                <w:szCs w:val="24"/>
              </w:rPr>
              <w:t>难治性判别及处理</w:t>
            </w:r>
          </w:p>
        </w:tc>
        <w:tc>
          <w:tcPr>
            <w:tcW w:w="7230" w:type="dxa"/>
            <w:shd w:val="clear" w:color="auto" w:fill="auto"/>
            <w:noWrap/>
            <w:vAlign w:val="center"/>
          </w:tcPr>
          <w:p>
            <w:pPr>
              <w:widowControl/>
              <w:rPr>
                <w:rFonts w:ascii="宋体" w:hAnsi="宋体" w:eastAsia="宋体" w:cs="宋体"/>
                <w:color w:val="000000"/>
                <w:szCs w:val="24"/>
                <w:lang w:eastAsia="zh-CN"/>
              </w:rPr>
            </w:pPr>
            <w:r>
              <w:rPr>
                <w:rFonts w:hint="eastAsia" w:ascii="宋体" w:hAnsi="宋体" w:eastAsia="宋体" w:cs="宋体"/>
                <w:color w:val="000000"/>
                <w:szCs w:val="24"/>
                <w:lang w:eastAsia="zh-CN"/>
              </w:rPr>
              <w:t>对久治不愈的难治性患者进行主动识别，并提示相关处理措施。</w:t>
            </w:r>
          </w:p>
        </w:tc>
      </w:tr>
    </w:tbl>
    <w:p>
      <w:pPr>
        <w:rPr>
          <w:rFonts w:ascii="宋体" w:hAnsi="宋体" w:eastAsia="宋体" w:cs="Times New Roman"/>
          <w:sz w:val="28"/>
          <w:szCs w:val="28"/>
          <w:lang w:eastAsia="zh-CN"/>
        </w:rPr>
      </w:pPr>
    </w:p>
    <w:p>
      <w:pPr>
        <w:rPr>
          <w:rFonts w:ascii="宋体" w:hAnsi="宋体" w:eastAsia="宋体" w:cs="Arial Unicode MS"/>
          <w:b/>
          <w:sz w:val="18"/>
          <w:szCs w:val="18"/>
          <w:lang w:eastAsia="zh-CN"/>
        </w:rPr>
        <w:sectPr>
          <w:footerReference r:id="rId3" w:type="default"/>
          <w:pgSz w:w="11910" w:h="16840"/>
          <w:pgMar w:top="1134" w:right="1134" w:bottom="1236" w:left="1134" w:header="0" w:footer="992" w:gutter="0"/>
          <w:cols w:space="720" w:num="1"/>
        </w:sectPr>
      </w:pPr>
    </w:p>
    <w:p>
      <w:pPr>
        <w:pStyle w:val="4"/>
        <w:numPr>
          <w:ilvl w:val="1"/>
          <w:numId w:val="1"/>
        </w:numPr>
        <w:rPr>
          <w:rFonts w:ascii="宋体" w:hAnsi="宋体" w:eastAsia="宋体" w:cs="宋体"/>
          <w:b w:val="0"/>
          <w:bCs w:val="0"/>
        </w:rPr>
      </w:pPr>
      <w:r>
        <w:rPr>
          <w:rFonts w:hint="eastAsia" w:ascii="宋体" w:hAnsi="宋体" w:eastAsia="宋体" w:cs="宋体"/>
          <w:b w:val="0"/>
          <w:bCs w:val="0"/>
        </w:rPr>
        <w:t>人员配备要求：</w:t>
      </w:r>
    </w:p>
    <w:p>
      <w:pPr>
        <w:pStyle w:val="7"/>
        <w:numPr>
          <w:ilvl w:val="2"/>
          <w:numId w:val="1"/>
        </w:numPr>
        <w:ind w:firstLineChars="0"/>
      </w:pPr>
      <w:r>
        <w:rPr>
          <w:rFonts w:hint="eastAsia"/>
        </w:rPr>
        <w:t>项目组成员（含项目负责人）不得少于 5 人，其中包括项目负责人 1 名，现场实施人员 1名，产品开发人员 1 名，产品知识库管理人员 2 人。</w:t>
      </w:r>
    </w:p>
    <w:p>
      <w:pPr>
        <w:pStyle w:val="4"/>
        <w:numPr>
          <w:ilvl w:val="1"/>
          <w:numId w:val="1"/>
        </w:numPr>
        <w:rPr>
          <w:rFonts w:ascii="宋体" w:hAnsi="宋体" w:eastAsia="宋体" w:cs="宋体"/>
          <w:b w:val="0"/>
          <w:bCs w:val="0"/>
        </w:rPr>
      </w:pPr>
      <w:r>
        <w:rPr>
          <w:rFonts w:hint="eastAsia" w:ascii="宋体" w:hAnsi="宋体" w:eastAsia="宋体" w:cs="宋体"/>
          <w:b w:val="0"/>
          <w:bCs w:val="0"/>
        </w:rPr>
        <w:t>系统建设服务要求：</w:t>
      </w:r>
    </w:p>
    <w:p>
      <w:pPr>
        <w:pStyle w:val="7"/>
        <w:numPr>
          <w:ilvl w:val="2"/>
          <w:numId w:val="1"/>
        </w:numPr>
        <w:ind w:firstLineChars="0"/>
      </w:pPr>
      <w:r>
        <w:rPr>
          <w:rFonts w:hint="eastAsia"/>
        </w:rPr>
        <w:t>所投产品能满足医院完成电子病历评级（《电子病历系统应用水平分级评价标准（试行）》评审中治疗信息处理相关的要求，达到六级水平；投标时提供承诺函扫描件，签订合同时提供承诺函原件。</w:t>
      </w:r>
    </w:p>
    <w:p>
      <w:pPr>
        <w:pStyle w:val="7"/>
        <w:numPr>
          <w:ilvl w:val="2"/>
          <w:numId w:val="1"/>
        </w:numPr>
        <w:ind w:firstLineChars="0"/>
      </w:pPr>
      <w:r>
        <w:rPr>
          <w:rFonts w:hint="eastAsia"/>
        </w:rPr>
        <w:t>所投产品能满足国家医疗健康信息医院信息互联互通标准化成熟度测评方案（2020版）相关要求，并达到五级水平；投标时提供承诺函扫描件，签订合同时提供承诺函原件。</w:t>
      </w:r>
    </w:p>
    <w:p>
      <w:pPr>
        <w:pStyle w:val="7"/>
        <w:numPr>
          <w:ilvl w:val="2"/>
          <w:numId w:val="1"/>
        </w:numPr>
        <w:ind w:firstLineChars="0"/>
      </w:pPr>
      <w:r>
        <w:rPr>
          <w:rFonts w:hint="eastAsia"/>
        </w:rPr>
        <w:t>要求和医院的 HIS、EMR 等信息系统通过完成对接，承诺按院方要求免费对接并开放相应接口，不得以任何理由收取费用，承诺终身免费开放接口并负责软件产品与甲方相关信息系统接口对接；投标时提供承诺函扫描件，签订合同时提供承诺函原件。</w:t>
      </w:r>
    </w:p>
    <w:p>
      <w:pPr>
        <w:pStyle w:val="7"/>
        <w:numPr>
          <w:ilvl w:val="2"/>
          <w:numId w:val="1"/>
        </w:numPr>
        <w:ind w:firstLineChars="0"/>
      </w:pPr>
      <w:r>
        <w:rPr>
          <w:rFonts w:hint="eastAsia"/>
        </w:rPr>
        <w:t>投标的临床决策支持系统产品原厂 1 年质保服务。在保修期内，发现的由于产品本身的原因造成故障或损坏，供货商免费修复，无法修复的免费更换。更换的必须是全新的、未使用过的，并在各个方面符合合同规定的质量、规格和性能要求。保修期内，设备及产品的维修、更换等所需一切支出（包括技术人员差旅费等支出）由供应商负责。</w:t>
      </w:r>
    </w:p>
    <w:p>
      <w:pPr>
        <w:pStyle w:val="7"/>
        <w:numPr>
          <w:ilvl w:val="2"/>
          <w:numId w:val="1"/>
        </w:numPr>
        <w:ind w:firstLineChars="0"/>
      </w:pPr>
      <w:r>
        <w:rPr>
          <w:rFonts w:hint="eastAsia"/>
        </w:rPr>
        <w:t>服务响应时间为全年 7×24 小时随时响应（电话、远程或现场），对于必须派人现场解决的问题，保证在收到现场服务通知后，8 小时内到达现场，4 小时内解决故障。维保期内供应商提供免费的软件升级（含软件版本打补丁和大、小版本更新）服务，范围包括（包括但不限于）软件安装，调试、维修，接口等内容。项目验收合格后，每年不低于4 次的例行维护及巡检。例行维护内容包括：软件的功能增强性维护等应用软件系统扩充升级（其中包括系统维护、跟踪检测），保证供应商所开发的软件正常运行，并提交维护报告等。</w:t>
      </w:r>
    </w:p>
    <w:p>
      <w:pPr>
        <w:pStyle w:val="7"/>
        <w:numPr>
          <w:ilvl w:val="2"/>
          <w:numId w:val="1"/>
        </w:numPr>
        <w:ind w:firstLineChars="0"/>
      </w:pPr>
      <w:r>
        <w:rPr>
          <w:rFonts w:hint="eastAsia"/>
        </w:rPr>
        <w:t>免费服务期内，投标人提供不少于 1 年 4 次的知识库升级。</w:t>
      </w:r>
    </w:p>
    <w:p>
      <w:pPr>
        <w:pStyle w:val="7"/>
        <w:numPr>
          <w:ilvl w:val="2"/>
          <w:numId w:val="1"/>
        </w:numPr>
        <w:ind w:firstLineChars="0"/>
      </w:pPr>
      <w:r>
        <w:rPr>
          <w:rFonts w:hint="eastAsia"/>
        </w:rPr>
        <w:t>投标人须提出详细的项目培训计划</w:t>
      </w:r>
    </w:p>
    <w:p>
      <w:pPr>
        <w:pStyle w:val="4"/>
        <w:numPr>
          <w:ilvl w:val="1"/>
          <w:numId w:val="1"/>
        </w:numPr>
        <w:rPr>
          <w:rFonts w:ascii="宋体" w:hAnsi="宋体" w:eastAsia="宋体" w:cs="宋体"/>
          <w:b w:val="0"/>
          <w:bCs w:val="0"/>
        </w:rPr>
      </w:pPr>
      <w:bookmarkStart w:id="3" w:name="_GoBack"/>
      <w:bookmarkEnd w:id="3"/>
      <w:r>
        <w:rPr>
          <w:rFonts w:ascii="宋体" w:hAnsi="宋体" w:eastAsia="宋体" w:cs="宋体"/>
          <w:b w:val="0"/>
          <w:bCs w:val="0"/>
        </w:rPr>
        <w:t>标准</w:t>
      </w:r>
    </w:p>
    <w:p>
      <w:pPr>
        <w:pStyle w:val="7"/>
        <w:numPr>
          <w:ilvl w:val="2"/>
          <w:numId w:val="1"/>
        </w:numPr>
        <w:ind w:firstLineChars="0"/>
      </w:pPr>
      <w:r>
        <w:t>供应商必须保证所供应产品为合格正品。</w:t>
      </w:r>
    </w:p>
    <w:p>
      <w:pPr>
        <w:pStyle w:val="7"/>
        <w:numPr>
          <w:ilvl w:val="2"/>
          <w:numId w:val="1"/>
        </w:numPr>
        <w:ind w:firstLineChars="0"/>
      </w:pPr>
      <w:r>
        <w:t>供应商所供商品必须严格按照合同规格、品牌提供，不得提供合同以外产品。</w:t>
      </w:r>
    </w:p>
    <w:p>
      <w:pPr>
        <w:pStyle w:val="7"/>
        <w:numPr>
          <w:ilvl w:val="2"/>
          <w:numId w:val="1"/>
        </w:numPr>
        <w:ind w:firstLineChars="0"/>
      </w:pPr>
      <w:r>
        <w:rPr>
          <w:rFonts w:hint="eastAsia"/>
        </w:rPr>
        <w:t>所提供的产品能够支持医院完成电子病历系统应用水平分级评价六级，并且承诺系统支持后续可升级，能满足电子病历系统应用水平分级评价七级。</w:t>
      </w:r>
      <w:bookmarkStart w:id="2" w:name="_bookmark3"/>
      <w:bookmarkEnd w:id="2"/>
    </w:p>
    <w:p>
      <w:pPr>
        <w:widowControl/>
        <w:rPr>
          <w:rFonts w:ascii="宋体" w:hAnsi="宋体" w:eastAsia="宋体" w:cs="宋体"/>
          <w:sz w:val="24"/>
          <w:szCs w:val="24"/>
          <w:lang w:eastAsia="zh-CN"/>
        </w:rPr>
      </w:pPr>
    </w:p>
    <w:sectPr>
      <w:footerReference r:id="rId4" w:type="default"/>
      <w:pgSz w:w="11910" w:h="16840"/>
      <w:pgMar w:top="1184" w:right="1680" w:bottom="1200" w:left="1680" w:header="0" w:footer="10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w:altName w:val="Arial Unicode MS"/>
    <w:panose1 w:val="00000000000000000000"/>
    <w:charset w:val="80"/>
    <w:family w:val="auto"/>
    <w:pitch w:val="default"/>
    <w:sig w:usb0="00000000" w:usb1="00000000" w:usb2="00000010" w:usb3="00000000" w:csb0="003E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3637280</wp:posOffset>
              </wp:positionH>
              <wp:positionV relativeFrom="page">
                <wp:posOffset>9909810</wp:posOffset>
              </wp:positionV>
              <wp:extent cx="317500" cy="160020"/>
              <wp:effectExtent l="0" t="0" r="0" b="0"/>
              <wp:wrapNone/>
              <wp:docPr id="3" name="Text Box 7"/>
              <wp:cNvGraphicFramePr/>
              <a:graphic xmlns:a="http://schemas.openxmlformats.org/drawingml/2006/main">
                <a:graphicData uri="http://schemas.microsoft.com/office/word/2010/wordprocessingShape">
                  <wps:wsp>
                    <wps:cNvSpPr txBox="1"/>
                    <wps:spPr bwMode="auto">
                      <a:xfrm>
                        <a:off x="0" y="0"/>
                        <a:ext cx="317500" cy="160020"/>
                      </a:xfrm>
                      <a:prstGeom prst="rect">
                        <a:avLst/>
                      </a:prstGeom>
                      <a:noFill/>
                      <a:ln>
                        <a:noFill/>
                      </a:ln>
                    </wps:spPr>
                    <wps:txbx>
                      <w:txbxContent>
                        <w:p>
                          <w:pPr>
                            <w:spacing w:line="235" w:lineRule="exact"/>
                            <w:ind w:left="20"/>
                            <w:rPr>
                              <w:rFonts w:ascii="Times New Roman" w:hAnsi="Times New Roman" w:eastAsia="Times New Roman" w:cs="Times New Roman"/>
                              <w:sz w:val="21"/>
                              <w:szCs w:val="21"/>
                            </w:rPr>
                          </w:pPr>
                          <w:r>
                            <w:rPr>
                              <w:rFonts w:ascii="Times New Roman"/>
                              <w:sz w:val="21"/>
                            </w:rPr>
                            <w:t>-</w:t>
                          </w:r>
                          <w:r>
                            <w:fldChar w:fldCharType="begin"/>
                          </w:r>
                          <w:r>
                            <w:rPr>
                              <w:rFonts w:ascii="Times New Roman"/>
                              <w:sz w:val="21"/>
                            </w:rPr>
                            <w:instrText xml:space="preserve"> PAGE </w:instrText>
                          </w:r>
                          <w:r>
                            <w:fldChar w:fldCharType="separate"/>
                          </w:r>
                          <w:r>
                            <w:rPr>
                              <w:rFonts w:ascii="Times New Roman"/>
                              <w:sz w:val="21"/>
                            </w:rPr>
                            <w:t>7</w:t>
                          </w:r>
                          <w:r>
                            <w:fldChar w:fldCharType="end"/>
                          </w:r>
                          <w:r>
                            <w:rPr>
                              <w:rFonts w:ascii="Times New Roman"/>
                              <w:sz w:val="21"/>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86.4pt;margin-top:780.3pt;height:12.6pt;width:25pt;mso-position-horizontal-relative:page;mso-position-vertical-relative:page;z-index:-251656192;mso-width-relative:page;mso-height-relative:page;" filled="f" stroked="f" coordsize="21600,21600" o:gfxdata="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Fds2QAAAA0B&#10;AAAPAAAAAAAAAAEAIAAAACIAAABkcnMvZG93bnJldi54bWxQSwECFAAUAAAACACHTuJA4pcgxuEB&#10;AADTAwAADgAAAAAAAAABACAAAAAoAQAAZHJzL2Uyb0RvYy54bWxQSwUGAAAAAAYABgBZAQAAewUA&#10;AAAA&#10;">
              <v:fill on="f" focussize="0,0"/>
              <v:stroke on="f"/>
              <v:imagedata o:title=""/>
              <o:lock v:ext="edit" aspectratio="f"/>
              <v:textbox inset="0mm,0mm,0mm,0mm">
                <w:txbxContent>
                  <w:p>
                    <w:pPr>
                      <w:spacing w:line="235" w:lineRule="exact"/>
                      <w:ind w:left="20"/>
                      <w:rPr>
                        <w:rFonts w:ascii="Times New Roman" w:hAnsi="Times New Roman" w:eastAsia="Times New Roman" w:cs="Times New Roman"/>
                        <w:sz w:val="21"/>
                        <w:szCs w:val="21"/>
                      </w:rPr>
                    </w:pPr>
                    <w:r>
                      <w:rPr>
                        <w:rFonts w:ascii="Times New Roman"/>
                        <w:sz w:val="21"/>
                      </w:rPr>
                      <w:t>-</w:t>
                    </w:r>
                    <w:r>
                      <w:fldChar w:fldCharType="begin"/>
                    </w:r>
                    <w:r>
                      <w:rPr>
                        <w:rFonts w:ascii="Times New Roman"/>
                        <w:sz w:val="21"/>
                      </w:rPr>
                      <w:instrText xml:space="preserve"> PAGE </w:instrText>
                    </w:r>
                    <w:r>
                      <w:fldChar w:fldCharType="separate"/>
                    </w:r>
                    <w:r>
                      <w:rPr>
                        <w:rFonts w:ascii="Times New Roman"/>
                        <w:sz w:val="21"/>
                      </w:rPr>
                      <w:t>7</w:t>
                    </w:r>
                    <w:r>
                      <w:fldChar w:fldCharType="end"/>
                    </w:r>
                    <w:r>
                      <w:rPr>
                        <w:rFonts w:ascii="Times New Roman"/>
                        <w:sz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3622040</wp:posOffset>
              </wp:positionH>
              <wp:positionV relativeFrom="page">
                <wp:posOffset>9909810</wp:posOffset>
              </wp:positionV>
              <wp:extent cx="317500" cy="160020"/>
              <wp:effectExtent l="0" t="0" r="0" b="0"/>
              <wp:wrapNone/>
              <wp:docPr id="1" name="Text Box 1"/>
              <wp:cNvGraphicFramePr/>
              <a:graphic xmlns:a="http://schemas.openxmlformats.org/drawingml/2006/main">
                <a:graphicData uri="http://schemas.microsoft.com/office/word/2010/wordprocessingShape">
                  <wps:wsp>
                    <wps:cNvSpPr txBox="1"/>
                    <wps:spPr bwMode="auto">
                      <a:xfrm>
                        <a:off x="0" y="0"/>
                        <a:ext cx="317500" cy="160020"/>
                      </a:xfrm>
                      <a:prstGeom prst="rect">
                        <a:avLst/>
                      </a:prstGeom>
                      <a:noFill/>
                      <a:ln>
                        <a:noFill/>
                      </a:ln>
                    </wps:spPr>
                    <wps:txbx>
                      <w:txbxContent>
                        <w:p>
                          <w:pPr>
                            <w:spacing w:line="235" w:lineRule="exact"/>
                            <w:ind w:left="20"/>
                            <w:rPr>
                              <w:rFonts w:ascii="Times New Roman" w:hAnsi="Times New Roman" w:eastAsia="Times New Roman" w:cs="Times New Roman"/>
                              <w:sz w:val="21"/>
                              <w:szCs w:val="21"/>
                            </w:rPr>
                          </w:pPr>
                          <w:r>
                            <w:rPr>
                              <w:rFonts w:ascii="Times New Roman"/>
                              <w:sz w:val="21"/>
                            </w:rPr>
                            <w:t>-</w:t>
                          </w:r>
                          <w:r>
                            <w:fldChar w:fldCharType="begin"/>
                          </w:r>
                          <w:r>
                            <w:rPr>
                              <w:rFonts w:ascii="Times New Roman"/>
                              <w:sz w:val="21"/>
                            </w:rPr>
                            <w:instrText xml:space="preserve"> PAGE </w:instrText>
                          </w:r>
                          <w:r>
                            <w:fldChar w:fldCharType="separate"/>
                          </w:r>
                          <w:r>
                            <w:rPr>
                              <w:rFonts w:ascii="Times New Roman"/>
                              <w:sz w:val="21"/>
                            </w:rPr>
                            <w:t>12</w:t>
                          </w:r>
                          <w:r>
                            <w:fldChar w:fldCharType="end"/>
                          </w:r>
                          <w:r>
                            <w:rPr>
                              <w:rFonts w:ascii="Times New Roman"/>
                              <w:sz w:val="21"/>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5.2pt;margin-top:780.3pt;height:12.6pt;width:25pt;mso-position-horizontal-relative:page;mso-position-vertical-relative:page;z-index:-251657216;mso-width-relative:page;mso-height-relative:page;" filled="f" stroked="f" coordsize="21600,21600" o:gfxdata="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wW3OjZAAAADQEA&#10;AA8AAAAAAAAAAQAgAAAAIgAAAGRycy9kb3ducmV2LnhtbFBLAQIUABQAAAAIAIdO4kB2+1Gl4AEA&#10;ANMDAAAOAAAAAAAAAAEAIAAAACgBAABkcnMvZTJvRG9jLnhtbFBLBQYAAAAABgAGAFkBAAB6BQAA&#10;AAA=&#10;">
              <v:fill on="f" focussize="0,0"/>
              <v:stroke on="f"/>
              <v:imagedata o:title=""/>
              <o:lock v:ext="edit" aspectratio="f"/>
              <v:textbox inset="0mm,0mm,0mm,0mm">
                <w:txbxContent>
                  <w:p>
                    <w:pPr>
                      <w:spacing w:line="235" w:lineRule="exact"/>
                      <w:ind w:left="20"/>
                      <w:rPr>
                        <w:rFonts w:ascii="Times New Roman" w:hAnsi="Times New Roman" w:eastAsia="Times New Roman" w:cs="Times New Roman"/>
                        <w:sz w:val="21"/>
                        <w:szCs w:val="21"/>
                      </w:rPr>
                    </w:pPr>
                    <w:r>
                      <w:rPr>
                        <w:rFonts w:ascii="Times New Roman"/>
                        <w:sz w:val="21"/>
                      </w:rPr>
                      <w:t>-</w:t>
                    </w:r>
                    <w:r>
                      <w:fldChar w:fldCharType="begin"/>
                    </w:r>
                    <w:r>
                      <w:rPr>
                        <w:rFonts w:ascii="Times New Roman"/>
                        <w:sz w:val="21"/>
                      </w:rPr>
                      <w:instrText xml:space="preserve"> PAGE </w:instrText>
                    </w:r>
                    <w:r>
                      <w:fldChar w:fldCharType="separate"/>
                    </w:r>
                    <w:r>
                      <w:rPr>
                        <w:rFonts w:ascii="Times New Roman"/>
                        <w:sz w:val="21"/>
                      </w:rPr>
                      <w:t>12</w:t>
                    </w:r>
                    <w:r>
                      <w:fldChar w:fldCharType="end"/>
                    </w:r>
                    <w:r>
                      <w:rPr>
                        <w:rFonts w:ascii="Times New Roman"/>
                        <w:sz w:val="21"/>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36E6D"/>
    <w:multiLevelType w:val="multilevel"/>
    <w:tmpl w:val="3DE36E6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BA"/>
    <w:rsid w:val="0004669E"/>
    <w:rsid w:val="00051EBB"/>
    <w:rsid w:val="000F6A60"/>
    <w:rsid w:val="001344E7"/>
    <w:rsid w:val="00177890"/>
    <w:rsid w:val="00267012"/>
    <w:rsid w:val="00296338"/>
    <w:rsid w:val="002A1412"/>
    <w:rsid w:val="003C4C6E"/>
    <w:rsid w:val="003F01C2"/>
    <w:rsid w:val="003F4DB9"/>
    <w:rsid w:val="004826D3"/>
    <w:rsid w:val="005104EF"/>
    <w:rsid w:val="00561C63"/>
    <w:rsid w:val="00622DBB"/>
    <w:rsid w:val="00751197"/>
    <w:rsid w:val="007854F5"/>
    <w:rsid w:val="008324F0"/>
    <w:rsid w:val="00834D37"/>
    <w:rsid w:val="008E16C6"/>
    <w:rsid w:val="0094302B"/>
    <w:rsid w:val="00A15E25"/>
    <w:rsid w:val="00A24B9E"/>
    <w:rsid w:val="00A274E9"/>
    <w:rsid w:val="00A35B24"/>
    <w:rsid w:val="00A61463"/>
    <w:rsid w:val="00A7783B"/>
    <w:rsid w:val="00B06398"/>
    <w:rsid w:val="00B2410E"/>
    <w:rsid w:val="00B809F4"/>
    <w:rsid w:val="00B81B02"/>
    <w:rsid w:val="00B86D07"/>
    <w:rsid w:val="00BA1EFA"/>
    <w:rsid w:val="00BE3073"/>
    <w:rsid w:val="00CE17BA"/>
    <w:rsid w:val="00CE7E5E"/>
    <w:rsid w:val="00CF4290"/>
    <w:rsid w:val="00E26C79"/>
    <w:rsid w:val="00E74944"/>
    <w:rsid w:val="00F57ECF"/>
    <w:rsid w:val="00FB41E4"/>
    <w:rsid w:val="00FD0BD4"/>
    <w:rsid w:val="75923668"/>
    <w:rsid w:val="7780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30"/>
      <w:outlineLvl w:val="0"/>
    </w:pPr>
    <w:rPr>
      <w:rFonts w:ascii="Heiti SC" w:hAnsi="Heiti SC" w:eastAsia="宋体"/>
      <w:b/>
      <w:bCs/>
      <w:sz w:val="36"/>
      <w:szCs w:val="96"/>
    </w:rPr>
  </w:style>
  <w:style w:type="paragraph" w:styleId="3">
    <w:name w:val="heading 2"/>
    <w:basedOn w:val="1"/>
    <w:next w:val="1"/>
    <w:unhideWhenUsed/>
    <w:qFormat/>
    <w:uiPriority w:val="9"/>
    <w:pPr>
      <w:ind w:left="2"/>
      <w:outlineLvl w:val="1"/>
    </w:pPr>
    <w:rPr>
      <w:rFonts w:ascii="Heiti SC" w:hAnsi="Heiti SC" w:eastAsia="Heiti SC"/>
      <w:b/>
      <w:bCs/>
      <w:sz w:val="36"/>
      <w:szCs w:val="36"/>
    </w:rPr>
  </w:style>
  <w:style w:type="paragraph" w:styleId="4">
    <w:name w:val="heading 3"/>
    <w:basedOn w:val="1"/>
    <w:next w:val="1"/>
    <w:unhideWhenUsed/>
    <w:qFormat/>
    <w:uiPriority w:val="9"/>
    <w:pPr>
      <w:spacing w:before="27"/>
      <w:ind w:left="538"/>
      <w:outlineLvl w:val="2"/>
    </w:pPr>
    <w:rPr>
      <w:rFonts w:ascii="Heiti SC" w:hAnsi="Heiti SC" w:eastAsia="Heiti SC"/>
      <w:b/>
      <w:bCs/>
      <w:sz w:val="30"/>
      <w:szCs w:val="30"/>
    </w:rPr>
  </w:style>
  <w:style w:type="paragraph" w:styleId="5">
    <w:name w:val="heading 4"/>
    <w:basedOn w:val="1"/>
    <w:next w:val="1"/>
    <w:link w:val="21"/>
    <w:unhideWhenUsed/>
    <w:qFormat/>
    <w:uiPriority w:val="9"/>
    <w:pPr>
      <w:outlineLvl w:val="3"/>
    </w:pPr>
    <w:rPr>
      <w:rFonts w:ascii="Heiti SC" w:hAnsi="Heiti SC" w:eastAsia="Heiti SC"/>
      <w:b/>
      <w:bCs/>
      <w:sz w:val="28"/>
      <w:szCs w:val="28"/>
    </w:rPr>
  </w:style>
  <w:style w:type="paragraph" w:styleId="6">
    <w:name w:val="heading 5"/>
    <w:basedOn w:val="1"/>
    <w:next w:val="1"/>
    <w:unhideWhenUsed/>
    <w:qFormat/>
    <w:uiPriority w:val="9"/>
    <w:pPr>
      <w:ind w:left="111"/>
      <w:outlineLvl w:val="4"/>
    </w:pPr>
    <w:rPr>
      <w:rFonts w:ascii="Heiti SC" w:hAnsi="Heiti SC" w:eastAsia="Heiti SC"/>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0"/>
    <w:qFormat/>
    <w:uiPriority w:val="0"/>
    <w:pPr>
      <w:spacing w:line="360" w:lineRule="auto"/>
      <w:ind w:firstLine="420" w:firstLineChars="200"/>
      <w:jc w:val="both"/>
    </w:pPr>
    <w:rPr>
      <w:rFonts w:ascii="Calibri" w:hAnsi="Calibri" w:eastAsia="宋体" w:cs="Times New Roman"/>
      <w:kern w:val="2"/>
      <w:sz w:val="24"/>
      <w:szCs w:val="24"/>
      <w:lang w:eastAsia="zh-CN"/>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Body Text"/>
    <w:basedOn w:val="1"/>
    <w:link w:val="22"/>
    <w:qFormat/>
    <w:uiPriority w:val="1"/>
    <w:pPr>
      <w:ind w:left="111"/>
    </w:pPr>
    <w:rPr>
      <w:rFonts w:ascii="Arial Unicode MS" w:hAnsi="Arial Unicode MS" w:eastAsia="Arial Unicode MS"/>
      <w:sz w:val="24"/>
      <w:szCs w:val="24"/>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字符"/>
    <w:basedOn w:val="14"/>
    <w:link w:val="11"/>
    <w:qFormat/>
    <w:uiPriority w:val="99"/>
    <w:rPr>
      <w:sz w:val="18"/>
      <w:szCs w:val="18"/>
    </w:rPr>
  </w:style>
  <w:style w:type="character" w:customStyle="1" w:styleId="19">
    <w:name w:val="页脚 字符"/>
    <w:basedOn w:val="14"/>
    <w:link w:val="10"/>
    <w:qFormat/>
    <w:uiPriority w:val="99"/>
    <w:rPr>
      <w:sz w:val="18"/>
      <w:szCs w:val="18"/>
    </w:rPr>
  </w:style>
  <w:style w:type="character" w:customStyle="1" w:styleId="20">
    <w:name w:val="正文缩进 字符"/>
    <w:link w:val="7"/>
    <w:qFormat/>
    <w:uiPriority w:val="0"/>
    <w:rPr>
      <w:rFonts w:ascii="Calibri" w:hAnsi="Calibri" w:eastAsia="宋体" w:cs="Times New Roman"/>
      <w:kern w:val="2"/>
      <w:sz w:val="24"/>
      <w:szCs w:val="24"/>
      <w:lang w:eastAsia="zh-CN"/>
    </w:rPr>
  </w:style>
  <w:style w:type="character" w:customStyle="1" w:styleId="21">
    <w:name w:val="标题 4 字符"/>
    <w:basedOn w:val="14"/>
    <w:link w:val="5"/>
    <w:qFormat/>
    <w:uiPriority w:val="9"/>
    <w:rPr>
      <w:rFonts w:ascii="Heiti SC" w:hAnsi="Heiti SC" w:eastAsia="Heiti SC"/>
      <w:b/>
      <w:bCs/>
      <w:sz w:val="28"/>
      <w:szCs w:val="28"/>
    </w:rPr>
  </w:style>
  <w:style w:type="character" w:customStyle="1" w:styleId="22">
    <w:name w:val="正文文本 字符"/>
    <w:basedOn w:val="14"/>
    <w:link w:val="9"/>
    <w:qFormat/>
    <w:uiPriority w:val="1"/>
    <w:rPr>
      <w:rFonts w:ascii="Arial Unicode MS" w:hAnsi="Arial Unicode MS" w:eastAsia="Arial Unicode MS"/>
      <w:sz w:val="24"/>
      <w:szCs w:val="24"/>
    </w:rPr>
  </w:style>
  <w:style w:type="character" w:customStyle="1" w:styleId="23">
    <w:name w:val="Default Char"/>
    <w:link w:val="24"/>
    <w:qFormat/>
    <w:locked/>
    <w:uiPriority w:val="99"/>
    <w:rPr>
      <w:rFonts w:ascii="MS Mincho" w:hAnsi="Calibri"/>
      <w:color w:val="000000"/>
      <w:kern w:val="2"/>
      <w:sz w:val="21"/>
      <w:szCs w:val="24"/>
      <w:lang w:eastAsia="zh-CN"/>
    </w:rPr>
  </w:style>
  <w:style w:type="paragraph" w:customStyle="1" w:styleId="24">
    <w:name w:val="Default"/>
    <w:link w:val="23"/>
    <w:qFormat/>
    <w:uiPriority w:val="99"/>
    <w:pPr>
      <w:widowControl w:val="0"/>
      <w:autoSpaceDE w:val="0"/>
      <w:autoSpaceDN w:val="0"/>
      <w:adjustRightInd w:val="0"/>
    </w:pPr>
    <w:rPr>
      <w:rFonts w:ascii="MS Mincho" w:hAnsi="Calibr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1115</Words>
  <Characters>6356</Characters>
  <Lines>52</Lines>
  <Paragraphs>14</Paragraphs>
  <TotalTime>3643</TotalTime>
  <ScaleCrop>false</ScaleCrop>
  <LinksUpToDate>false</LinksUpToDate>
  <CharactersWithSpaces>7457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2020-07-02T02:28:00Z</dcterms:created>
  <dc:creator>admin</dc:creator>
  <cp:lastModifiedBy>张琳</cp:lastModifiedBy>
  <dcterms:modified xsi:type="dcterms:W3CDTF">2021-10-22T00:08:20Z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2010</vt:lpwstr>
  </property>
  <property fmtid="{D5CDD505-2E9C-101B-9397-08002B2CF9AE}" pid="4" name="LastSaved">
    <vt:filetime>2019-11-19T00:00:00Z</vt:filetime>
  </property>
  <property fmtid="{D5CDD505-2E9C-101B-9397-08002B2CF9AE}" pid="5" name="KSOProductBuildVer">
    <vt:lpwstr>2052-11.1.0.10495</vt:lpwstr>
  </property>
  <property fmtid="{D5CDD505-2E9C-101B-9397-08002B2CF9AE}" pid="6" name="ICV">
    <vt:lpwstr>EECCF0F51A7D4C9A8AB844B3C86E762D</vt:lpwstr>
  </property>
</Properties>
</file>