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8E" w:rsidRDefault="00270C94" w:rsidP="00270C94">
      <w:pPr>
        <w:jc w:val="center"/>
        <w:rPr>
          <w:rFonts w:ascii="宋体" w:hAnsi="宋体" w:cs="Times New Roman"/>
          <w:b/>
          <w:sz w:val="32"/>
          <w:szCs w:val="32"/>
        </w:rPr>
      </w:pPr>
      <w:r>
        <w:rPr>
          <w:rFonts w:ascii="宋体" w:hAnsi="宋体" w:cs="Times New Roman" w:hint="eastAsia"/>
          <w:b/>
          <w:sz w:val="32"/>
          <w:szCs w:val="32"/>
        </w:rPr>
        <w:t>南通市第三人民医院“</w:t>
      </w:r>
      <w:r w:rsidRPr="00270C94">
        <w:rPr>
          <w:rFonts w:ascii="宋体" w:hAnsi="宋体" w:cs="Times New Roman" w:hint="eastAsia"/>
          <w:b/>
          <w:sz w:val="32"/>
          <w:szCs w:val="32"/>
        </w:rPr>
        <w:t>财务管理系统</w:t>
      </w:r>
      <w:r>
        <w:rPr>
          <w:rFonts w:ascii="宋体" w:hAnsi="宋体" w:cs="Times New Roman" w:hint="eastAsia"/>
          <w:b/>
          <w:sz w:val="32"/>
          <w:szCs w:val="32"/>
        </w:rPr>
        <w:t>”项目技术需求</w:t>
      </w:r>
    </w:p>
    <w:p w:rsidR="00270C94" w:rsidRDefault="00270C94" w:rsidP="00270C94">
      <w:pPr>
        <w:rPr>
          <w:rFonts w:ascii="宋体" w:hAnsi="宋体" w:cs="Times New Roman"/>
          <w:b/>
          <w:sz w:val="32"/>
          <w:szCs w:val="32"/>
        </w:rPr>
      </w:pPr>
    </w:p>
    <w:p w:rsidR="00270C94" w:rsidRPr="00270C94" w:rsidRDefault="00270C94" w:rsidP="00270C94">
      <w:pPr>
        <w:rPr>
          <w:rFonts w:ascii="宋体" w:hAnsi="宋体" w:cs="Times New Roman"/>
          <w:b/>
          <w:sz w:val="32"/>
          <w:szCs w:val="32"/>
        </w:rPr>
      </w:pPr>
      <w:r w:rsidRPr="00270C94">
        <w:rPr>
          <w:rFonts w:ascii="宋体" w:hAnsi="宋体" w:cs="Times New Roman" w:hint="eastAsia"/>
          <w:b/>
          <w:sz w:val="32"/>
          <w:szCs w:val="32"/>
        </w:rPr>
        <w:t>一</w:t>
      </w:r>
      <w:r w:rsidRPr="00270C94">
        <w:rPr>
          <w:rFonts w:ascii="宋体" w:hAnsi="宋体" w:cs="Times New Roman"/>
          <w:b/>
          <w:sz w:val="32"/>
          <w:szCs w:val="32"/>
        </w:rPr>
        <w:t>、项目概述</w:t>
      </w:r>
    </w:p>
    <w:p w:rsidR="00270C94" w:rsidRPr="00270C94" w:rsidRDefault="00270C94" w:rsidP="00270C94">
      <w:pPr>
        <w:rPr>
          <w:rFonts w:hint="eastAsia"/>
        </w:rPr>
      </w:pPr>
    </w:p>
    <w:p w:rsidR="00270C94" w:rsidRDefault="00270C94" w:rsidP="00270C94">
      <w:pPr>
        <w:spacing w:line="360" w:lineRule="auto"/>
        <w:ind w:firstLineChars="200" w:firstLine="640"/>
        <w:rPr>
          <w:rFonts w:ascii="宋体" w:hAnsi="宋体" w:cs="Times New Roman"/>
          <w:b/>
          <w:sz w:val="32"/>
          <w:szCs w:val="32"/>
        </w:rPr>
      </w:pPr>
      <w:r>
        <w:rPr>
          <w:rFonts w:ascii="宋体" w:hAnsi="宋体" w:cs="Times New Roman"/>
          <w:b/>
          <w:sz w:val="32"/>
          <w:szCs w:val="32"/>
        </w:rPr>
        <w:t>1</w:t>
      </w:r>
      <w:r>
        <w:rPr>
          <w:rFonts w:ascii="宋体" w:hAnsi="宋体" w:cs="Times New Roman" w:hint="eastAsia"/>
          <w:b/>
          <w:sz w:val="32"/>
          <w:szCs w:val="32"/>
        </w:rPr>
        <w:t>、</w:t>
      </w:r>
      <w:r>
        <w:rPr>
          <w:rFonts w:ascii="宋体" w:hAnsi="宋体" w:cs="Times New Roman" w:hint="eastAsia"/>
          <w:b/>
          <w:sz w:val="32"/>
          <w:szCs w:val="32"/>
        </w:rPr>
        <w:t>“全面预算管理系统”</w:t>
      </w:r>
      <w:r>
        <w:rPr>
          <w:rFonts w:ascii="宋体" w:hAnsi="宋体" w:cs="Times New Roman" w:hint="eastAsia"/>
          <w:b/>
          <w:sz w:val="32"/>
          <w:szCs w:val="32"/>
        </w:rPr>
        <w:t>：</w:t>
      </w:r>
    </w:p>
    <w:p w:rsidR="00270C94" w:rsidRPr="00270C94" w:rsidRDefault="00270C94" w:rsidP="00270C94">
      <w:pPr>
        <w:spacing w:line="360" w:lineRule="auto"/>
        <w:ind w:firstLineChars="200" w:firstLine="560"/>
        <w:rPr>
          <w:rFonts w:ascii="仿宋" w:eastAsia="仿宋" w:hAnsi="仿宋" w:cs="仿宋"/>
          <w:kern w:val="0"/>
          <w:sz w:val="28"/>
          <w:szCs w:val="24"/>
        </w:rPr>
      </w:pPr>
      <w:r w:rsidRPr="00270C94">
        <w:rPr>
          <w:rFonts w:ascii="仿宋" w:eastAsia="仿宋" w:hAnsi="仿宋" w:cs="仿宋" w:hint="eastAsia"/>
          <w:kern w:val="0"/>
          <w:sz w:val="28"/>
          <w:szCs w:val="24"/>
        </w:rPr>
        <w:t>在医院信息管理系统的基础上，构建起以全面预算为抓手的预算管理系统，实现预算的可视化全面控制。加强医院预算管理，有利于合理控制成本，规范医院收支运行，强化约束管理，提升管理水平，促进医院持续健康发展。</w:t>
      </w:r>
    </w:p>
    <w:p w:rsidR="00270C94" w:rsidRDefault="00270C94" w:rsidP="00270C94">
      <w:pPr>
        <w:ind w:firstLineChars="200" w:firstLine="560"/>
        <w:rPr>
          <w:rFonts w:ascii="仿宋" w:eastAsia="仿宋" w:hAnsi="仿宋" w:cs="仿宋"/>
          <w:kern w:val="0"/>
          <w:sz w:val="28"/>
          <w:szCs w:val="24"/>
        </w:rPr>
      </w:pPr>
      <w:r w:rsidRPr="00270C94">
        <w:rPr>
          <w:rFonts w:ascii="仿宋" w:eastAsia="仿宋" w:hAnsi="仿宋" w:cs="仿宋" w:hint="eastAsia"/>
          <w:kern w:val="0"/>
          <w:sz w:val="28"/>
          <w:szCs w:val="24"/>
        </w:rPr>
        <w:t>全面预算管理系统紧密围绕医院战略目标，将所有的收支全部纳入预算管理，帮助医院进行全面、科学、精细、灵活的预算管理。实现对预算的编制、执行、调整、分析等环节的全面管理和控制，为医院落实全面预算下的实时控制、目标管理提供可靠保障，更为医院的绩效考核管理提供科学的参考依据。</w:t>
      </w:r>
    </w:p>
    <w:p w:rsidR="00270C94" w:rsidRDefault="00270C94" w:rsidP="00270C94">
      <w:pPr>
        <w:spacing w:line="360" w:lineRule="auto"/>
        <w:ind w:firstLineChars="200" w:firstLine="640"/>
        <w:rPr>
          <w:rFonts w:ascii="宋体" w:hAnsi="宋体"/>
          <w:b/>
          <w:sz w:val="32"/>
          <w:szCs w:val="32"/>
        </w:rPr>
      </w:pPr>
      <w:r>
        <w:rPr>
          <w:rFonts w:ascii="宋体" w:hAnsi="宋体" w:hint="eastAsia"/>
          <w:b/>
          <w:sz w:val="32"/>
          <w:szCs w:val="32"/>
        </w:rPr>
        <w:t>2</w:t>
      </w:r>
      <w:r>
        <w:rPr>
          <w:rFonts w:ascii="宋体" w:hAnsi="宋体" w:hint="eastAsia"/>
          <w:b/>
          <w:sz w:val="32"/>
          <w:szCs w:val="32"/>
        </w:rPr>
        <w:t>、</w:t>
      </w:r>
      <w:r>
        <w:rPr>
          <w:rFonts w:ascii="宋体" w:hAnsi="宋体" w:hint="eastAsia"/>
          <w:b/>
          <w:sz w:val="32"/>
          <w:szCs w:val="32"/>
        </w:rPr>
        <w:t>“网上财务审批系统”</w:t>
      </w:r>
      <w:r>
        <w:rPr>
          <w:rFonts w:ascii="宋体" w:hAnsi="宋体" w:hint="eastAsia"/>
          <w:b/>
          <w:sz w:val="32"/>
          <w:szCs w:val="32"/>
        </w:rPr>
        <w:t>：</w:t>
      </w:r>
    </w:p>
    <w:p w:rsidR="00270C94" w:rsidRPr="00270C94" w:rsidRDefault="00270C94" w:rsidP="00270C94">
      <w:pPr>
        <w:spacing w:line="360" w:lineRule="auto"/>
        <w:ind w:firstLineChars="200" w:firstLine="560"/>
        <w:rPr>
          <w:rFonts w:ascii="仿宋" w:eastAsia="仿宋" w:hAnsi="仿宋" w:cs="仿宋"/>
          <w:kern w:val="0"/>
          <w:sz w:val="28"/>
          <w:szCs w:val="24"/>
        </w:rPr>
      </w:pPr>
      <w:r w:rsidRPr="00270C94">
        <w:rPr>
          <w:rFonts w:ascii="仿宋" w:eastAsia="仿宋" w:hAnsi="仿宋" w:cs="仿宋" w:hint="eastAsia"/>
          <w:kern w:val="0"/>
          <w:sz w:val="28"/>
          <w:szCs w:val="24"/>
        </w:rPr>
        <w:t>在医院信息管理系统的基础上，构建起集系统化、电子化、人本化为一体的网上财务审批系统，实现医院基础管理流程的全面规范。加强网上财务审批管理，有利于强化约束管理，提升管理水平，提高财务工作效率，促进医院持续健康发展。</w:t>
      </w:r>
    </w:p>
    <w:p w:rsidR="00270C94" w:rsidRDefault="00270C94" w:rsidP="00270C94">
      <w:pPr>
        <w:spacing w:line="360" w:lineRule="auto"/>
        <w:ind w:firstLineChars="200" w:firstLine="560"/>
        <w:rPr>
          <w:rFonts w:ascii="仿宋" w:eastAsia="仿宋" w:hAnsi="仿宋" w:cs="仿宋"/>
          <w:kern w:val="0"/>
          <w:sz w:val="28"/>
          <w:szCs w:val="24"/>
        </w:rPr>
      </w:pPr>
      <w:r w:rsidRPr="00270C94">
        <w:rPr>
          <w:rFonts w:ascii="仿宋" w:eastAsia="仿宋" w:hAnsi="仿宋" w:cs="仿宋" w:hint="eastAsia"/>
          <w:kern w:val="0"/>
          <w:sz w:val="28"/>
          <w:szCs w:val="24"/>
        </w:rPr>
        <w:t>网上财务审批系统通过业务、资金、信息的整合，明确、适度的分权、授权等，实现医院资金的使用合理性、审批流程规范性、作业高度协同、战略有效贯彻、经营持续改善、价值稳定增长的目标。</w:t>
      </w:r>
    </w:p>
    <w:p w:rsidR="00270C94" w:rsidRDefault="00270C94" w:rsidP="00270C94">
      <w:pPr>
        <w:spacing w:line="360" w:lineRule="auto"/>
        <w:ind w:firstLineChars="200" w:firstLine="640"/>
        <w:rPr>
          <w:rFonts w:ascii="宋体" w:hAnsi="宋体"/>
          <w:b/>
          <w:sz w:val="32"/>
          <w:szCs w:val="32"/>
        </w:rPr>
      </w:pPr>
    </w:p>
    <w:p w:rsidR="00270C94" w:rsidRDefault="00270C94" w:rsidP="00270C94">
      <w:pPr>
        <w:spacing w:line="360" w:lineRule="auto"/>
        <w:ind w:firstLineChars="200" w:firstLine="640"/>
        <w:rPr>
          <w:rFonts w:ascii="宋体" w:hAnsi="宋体"/>
          <w:b/>
          <w:sz w:val="32"/>
          <w:szCs w:val="32"/>
        </w:rPr>
      </w:pPr>
      <w:r>
        <w:rPr>
          <w:rFonts w:ascii="宋体" w:hAnsi="宋体" w:hint="eastAsia"/>
          <w:b/>
          <w:sz w:val="32"/>
          <w:szCs w:val="32"/>
        </w:rPr>
        <w:lastRenderedPageBreak/>
        <w:t>3</w:t>
      </w:r>
      <w:r>
        <w:rPr>
          <w:rFonts w:ascii="宋体" w:hAnsi="宋体" w:hint="eastAsia"/>
          <w:b/>
          <w:sz w:val="32"/>
          <w:szCs w:val="32"/>
        </w:rPr>
        <w:t>、</w:t>
      </w:r>
      <w:r>
        <w:rPr>
          <w:rFonts w:ascii="宋体" w:hAnsi="宋体" w:hint="eastAsia"/>
          <w:b/>
          <w:sz w:val="32"/>
          <w:szCs w:val="32"/>
        </w:rPr>
        <w:t>“成本核算系统”</w:t>
      </w:r>
      <w:r>
        <w:rPr>
          <w:rFonts w:ascii="宋体" w:hAnsi="宋体" w:hint="eastAsia"/>
          <w:b/>
          <w:sz w:val="32"/>
          <w:szCs w:val="32"/>
        </w:rPr>
        <w:t>：</w:t>
      </w:r>
    </w:p>
    <w:p w:rsidR="00270C94" w:rsidRPr="00270C94" w:rsidRDefault="00270C94" w:rsidP="00270C94">
      <w:pPr>
        <w:spacing w:line="360" w:lineRule="auto"/>
        <w:ind w:firstLineChars="200" w:firstLine="560"/>
        <w:rPr>
          <w:rFonts w:ascii="仿宋" w:eastAsia="仿宋" w:hAnsi="仿宋" w:cs="仿宋"/>
          <w:kern w:val="0"/>
          <w:sz w:val="28"/>
          <w:szCs w:val="24"/>
        </w:rPr>
      </w:pPr>
      <w:bookmarkStart w:id="0" w:name="_GoBack"/>
      <w:bookmarkEnd w:id="0"/>
      <w:r w:rsidRPr="00270C94">
        <w:rPr>
          <w:rFonts w:ascii="仿宋" w:eastAsia="仿宋" w:hAnsi="仿宋" w:cs="仿宋" w:hint="eastAsia"/>
          <w:kern w:val="0"/>
          <w:sz w:val="28"/>
          <w:szCs w:val="24"/>
        </w:rPr>
        <w:t>以会计原理为基石，以管理需求为导向，以科室成本为起点，充分利用医院现有人力资源和信息资源，全面核算医院的科室全成本，为医院的绩效考评、投资决策、预算控制提供全方位核算信息数据。</w:t>
      </w:r>
    </w:p>
    <w:p w:rsidR="00270C94" w:rsidRDefault="00270C94" w:rsidP="00270C94">
      <w:pPr>
        <w:spacing w:line="360" w:lineRule="auto"/>
        <w:ind w:firstLineChars="200" w:firstLine="560"/>
        <w:rPr>
          <w:rFonts w:ascii="仿宋" w:eastAsia="仿宋" w:hAnsi="仿宋" w:cs="仿宋"/>
          <w:kern w:val="0"/>
          <w:sz w:val="28"/>
          <w:szCs w:val="24"/>
        </w:rPr>
      </w:pPr>
      <w:r w:rsidRPr="00270C94">
        <w:rPr>
          <w:rFonts w:ascii="仿宋" w:eastAsia="仿宋" w:hAnsi="仿宋" w:cs="仿宋" w:hint="eastAsia"/>
          <w:kern w:val="0"/>
          <w:sz w:val="28"/>
          <w:szCs w:val="24"/>
        </w:rPr>
        <w:t>根据医院渐进式改革的成本管理策略，本系统同步核算各个核算单元的理论成本和考核成本以及理论结余和考核结余，并将理论成本与考核成本的设置开关交给院方。为医院分步推进成本管理和分配改革，提供数字化变速开关。从而使医院走出纯理论成本核算导致的临床科室大面积亏损的尴尬被动局面。</w:t>
      </w:r>
    </w:p>
    <w:p w:rsidR="00270C94" w:rsidRDefault="00270C94" w:rsidP="00270C94">
      <w:pPr>
        <w:rPr>
          <w:rFonts w:ascii="宋体" w:hAnsi="宋体" w:cs="Times New Roman"/>
          <w:b/>
          <w:sz w:val="32"/>
          <w:szCs w:val="32"/>
        </w:rPr>
      </w:pPr>
    </w:p>
    <w:p w:rsidR="00270C94" w:rsidRDefault="00270C94" w:rsidP="00270C94">
      <w:pPr>
        <w:rPr>
          <w:rFonts w:ascii="宋体" w:hAnsi="宋体" w:cs="Times New Roman"/>
          <w:b/>
          <w:sz w:val="32"/>
          <w:szCs w:val="32"/>
        </w:rPr>
      </w:pPr>
      <w:r w:rsidRPr="00270C94">
        <w:rPr>
          <w:rFonts w:ascii="宋体" w:hAnsi="宋体" w:cs="Times New Roman" w:hint="eastAsia"/>
          <w:b/>
          <w:sz w:val="32"/>
          <w:szCs w:val="32"/>
        </w:rPr>
        <w:t>二</w:t>
      </w:r>
      <w:r>
        <w:rPr>
          <w:rFonts w:ascii="宋体" w:hAnsi="宋体" w:cs="Times New Roman" w:hint="eastAsia"/>
          <w:b/>
          <w:sz w:val="32"/>
          <w:szCs w:val="32"/>
        </w:rPr>
        <w:t>、</w:t>
      </w:r>
      <w:r w:rsidRPr="00270C94">
        <w:rPr>
          <w:rFonts w:ascii="宋体" w:hAnsi="宋体" w:cs="Times New Roman" w:hint="eastAsia"/>
          <w:b/>
          <w:sz w:val="32"/>
          <w:szCs w:val="32"/>
        </w:rPr>
        <w:t>软件需求</w:t>
      </w:r>
      <w:r w:rsidRPr="00270C94">
        <w:rPr>
          <w:rFonts w:ascii="宋体" w:hAnsi="宋体" w:cs="Times New Roman"/>
          <w:b/>
          <w:sz w:val="32"/>
          <w:szCs w:val="32"/>
        </w:rPr>
        <w:t>概述</w:t>
      </w:r>
    </w:p>
    <w:p w:rsidR="00270C94" w:rsidRDefault="00270C94" w:rsidP="00270C94">
      <w:pPr>
        <w:rPr>
          <w:rFonts w:ascii="宋体" w:hAnsi="宋体" w:cs="Times New Roman"/>
          <w:b/>
          <w:sz w:val="32"/>
          <w:szCs w:val="32"/>
        </w:rPr>
      </w:pPr>
    </w:p>
    <w:p w:rsidR="00270C94" w:rsidRDefault="00270C94" w:rsidP="00270C94">
      <w:pPr>
        <w:ind w:firstLineChars="200" w:firstLine="640"/>
        <w:rPr>
          <w:rFonts w:ascii="宋体" w:hAnsi="宋体" w:cs="Times New Roman" w:hint="eastAsia"/>
          <w:b/>
          <w:sz w:val="32"/>
          <w:szCs w:val="32"/>
        </w:rPr>
      </w:pPr>
      <w:r>
        <w:rPr>
          <w:rFonts w:ascii="宋体" w:hAnsi="宋体" w:cs="Times New Roman" w:hint="eastAsia"/>
          <w:b/>
          <w:sz w:val="32"/>
          <w:szCs w:val="32"/>
        </w:rPr>
        <w:t>1</w:t>
      </w:r>
      <w:r>
        <w:rPr>
          <w:rFonts w:ascii="宋体" w:hAnsi="宋体" w:cs="Times New Roman" w:hint="eastAsia"/>
          <w:b/>
          <w:sz w:val="32"/>
          <w:szCs w:val="32"/>
        </w:rPr>
        <w:t>、</w:t>
      </w:r>
      <w:r>
        <w:rPr>
          <w:rFonts w:ascii="宋体" w:hAnsi="宋体" w:cs="Times New Roman" w:hint="eastAsia"/>
          <w:b/>
          <w:sz w:val="32"/>
          <w:szCs w:val="32"/>
        </w:rPr>
        <w:t>“全面预算管理系统”：</w:t>
      </w:r>
    </w:p>
    <w:tbl>
      <w:tblPr>
        <w:tblW w:w="5000" w:type="pct"/>
        <w:tblLook w:val="04A0" w:firstRow="1" w:lastRow="0" w:firstColumn="1" w:lastColumn="0" w:noHBand="0" w:noVBand="1"/>
      </w:tblPr>
      <w:tblGrid>
        <w:gridCol w:w="466"/>
        <w:gridCol w:w="1502"/>
        <w:gridCol w:w="1500"/>
        <w:gridCol w:w="4828"/>
      </w:tblGrid>
      <w:tr w:rsidR="00270C94" w:rsidRPr="00270C94" w:rsidTr="008E302F">
        <w:trPr>
          <w:trHeight w:val="60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b/>
                <w:sz w:val="24"/>
                <w:szCs w:val="24"/>
              </w:rPr>
              <w:t>全面预算管理系统</w:t>
            </w:r>
          </w:p>
        </w:tc>
      </w:tr>
      <w:tr w:rsidR="00270C94" w:rsidRPr="00270C94" w:rsidTr="008E302F">
        <w:trPr>
          <w:trHeight w:val="600"/>
          <w:tblHeader/>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序号</w:t>
            </w:r>
          </w:p>
        </w:tc>
        <w:tc>
          <w:tcPr>
            <w:tcW w:w="905"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模块</w:t>
            </w:r>
          </w:p>
        </w:tc>
        <w:tc>
          <w:tcPr>
            <w:tcW w:w="904"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功能</w:t>
            </w:r>
          </w:p>
        </w:tc>
        <w:tc>
          <w:tcPr>
            <w:tcW w:w="2909"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功能明细</w:t>
            </w:r>
          </w:p>
        </w:tc>
      </w:tr>
      <w:tr w:rsidR="00270C94" w:rsidRPr="00270C94" w:rsidTr="008E302F">
        <w:trPr>
          <w:trHeight w:val="90"/>
        </w:trPr>
        <w:tc>
          <w:tcPr>
            <w:tcW w:w="281" w:type="pct"/>
            <w:vMerge w:val="restar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1</w:t>
            </w:r>
          </w:p>
        </w:tc>
        <w:tc>
          <w:tcPr>
            <w:tcW w:w="905" w:type="pct"/>
            <w:vMerge w:val="restar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预算内容管理</w:t>
            </w: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业务预算</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包括收入预算、支出(业务事项)预算和工作量预算。其中，收入预算主要包括医疗收入、财政补助收入、科教项目收入、其他收入；支出(业务事项)预算主要包括业务活动支出、单位管理费用、其他费用及其他等</w:t>
            </w:r>
          </w:p>
        </w:tc>
      </w:tr>
      <w:tr w:rsidR="00270C94" w:rsidRPr="00270C94" w:rsidTr="008E302F">
        <w:trPr>
          <w:trHeight w:val="860"/>
        </w:trPr>
        <w:tc>
          <w:tcPr>
            <w:tcW w:w="281"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财务预算</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包括年度收支预算总表、收入预算总表、支出预算总表；</w:t>
            </w:r>
          </w:p>
        </w:tc>
      </w:tr>
      <w:tr w:rsidR="00270C94" w:rsidRPr="00270C94" w:rsidTr="008E302F">
        <w:trPr>
          <w:trHeight w:val="560"/>
        </w:trPr>
        <w:tc>
          <w:tcPr>
            <w:tcW w:w="281"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2</w:t>
            </w:r>
          </w:p>
        </w:tc>
        <w:tc>
          <w:tcPr>
            <w:tcW w:w="905"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预算编制管理</w:t>
            </w: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历史数据采集</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采集历史上某个区间的数据结果，提供历史数据追溯查询的功能。</w:t>
            </w:r>
          </w:p>
        </w:tc>
      </w:tr>
      <w:tr w:rsidR="00270C94" w:rsidRPr="00270C94" w:rsidTr="008E302F">
        <w:trPr>
          <w:trHeight w:val="40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预算表格布置</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根据内定的预算组织分工、归口关系、编制流程，通过布置预算各类预算表格，完成编制任务下发工作。</w:t>
            </w:r>
          </w:p>
        </w:tc>
      </w:tr>
      <w:tr w:rsidR="00270C94" w:rsidRPr="00270C94" w:rsidTr="008E302F">
        <w:trPr>
          <w:trHeight w:val="56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科室预算申报</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根据不同预算内容所对应的预算方法，预算科室或归口部门完成申报预算(一上、二上)工作，并填写各预算科目(指标)申报相关理由</w:t>
            </w:r>
          </w:p>
        </w:tc>
      </w:tr>
      <w:tr w:rsidR="00270C94" w:rsidRPr="00270C94" w:rsidTr="008E302F">
        <w:trPr>
          <w:trHeight w:val="9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科室预算审查</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预算管理办公室根据科室预算申报情况，结合医院的年度目标计划，在与科室充分沟通的基础上，对各科室申报的数据进行审核、修改、调整、试算；</w:t>
            </w:r>
          </w:p>
        </w:tc>
      </w:tr>
      <w:tr w:rsidR="00270C94" w:rsidRPr="00270C94" w:rsidTr="008E302F">
        <w:trPr>
          <w:trHeight w:val="28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科室预算汇总</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汇总产生医院业务总预算、费用总预算、收支总预算报表，并进行试算平衡</w:t>
            </w:r>
          </w:p>
        </w:tc>
      </w:tr>
      <w:tr w:rsidR="00270C94" w:rsidRPr="00270C94" w:rsidTr="008E302F">
        <w:trPr>
          <w:trHeight w:val="34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预算申报进度</w:t>
            </w:r>
          </w:p>
        </w:tc>
        <w:tc>
          <w:tcPr>
            <w:tcW w:w="2909"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实时跟踪查询各科室、各部门的预算申报进度情况</w:t>
            </w:r>
          </w:p>
        </w:tc>
      </w:tr>
      <w:tr w:rsidR="00270C94" w:rsidRPr="00270C94" w:rsidTr="008E302F">
        <w:trPr>
          <w:trHeight w:val="28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预算数据审批(下达)</w:t>
            </w:r>
          </w:p>
        </w:tc>
        <w:tc>
          <w:tcPr>
            <w:tcW w:w="2909"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向所有预算编制科室下达医院年度指导性计划数据、下达二下的数据、以及下达经最后审批的年度预算数据。</w:t>
            </w:r>
          </w:p>
        </w:tc>
      </w:tr>
      <w:tr w:rsidR="00270C94" w:rsidRPr="00270C94" w:rsidTr="008E302F">
        <w:trPr>
          <w:trHeight w:val="28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预算数据导入</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医院历史年度通过手工方式编制的预算数据，可通过本系统导入，以建立纵向的预算比较分析环境</w:t>
            </w:r>
          </w:p>
        </w:tc>
      </w:tr>
      <w:tr w:rsidR="00270C94" w:rsidRPr="00270C94" w:rsidTr="008E302F">
        <w:trPr>
          <w:trHeight w:val="56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预算数据分解</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将年度预算数据自动分解为月度预算数据，按收支明细项目的结构系数，由系统将较粗的大类数据自动分解到明细的收入和支出会计科目；</w:t>
            </w:r>
          </w:p>
        </w:tc>
      </w:tr>
      <w:tr w:rsidR="00270C94" w:rsidRPr="00270C94" w:rsidTr="008E302F">
        <w:trPr>
          <w:trHeight w:val="840"/>
        </w:trPr>
        <w:tc>
          <w:tcPr>
            <w:tcW w:w="281"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预算指标说明</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为了方便各科室、各部门按统一的指标口径编制预算，提供预算指标说明的查询功能</w:t>
            </w:r>
          </w:p>
        </w:tc>
      </w:tr>
      <w:tr w:rsidR="00270C94" w:rsidRPr="00270C94" w:rsidTr="008E302F">
        <w:trPr>
          <w:trHeight w:val="560"/>
        </w:trPr>
        <w:tc>
          <w:tcPr>
            <w:tcW w:w="281" w:type="pc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3</w:t>
            </w:r>
          </w:p>
        </w:tc>
        <w:tc>
          <w:tcPr>
            <w:tcW w:w="905" w:type="pc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预算下达管理</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预算下达管理</w:t>
            </w:r>
          </w:p>
        </w:tc>
        <w:tc>
          <w:tcPr>
            <w:tcW w:w="2909"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通过编制业务事项(收入、支出)指标预算，计算其他指标维度的全院、归口、科室级数据；</w:t>
            </w:r>
          </w:p>
        </w:tc>
      </w:tr>
      <w:tr w:rsidR="00270C94" w:rsidRPr="00270C94" w:rsidTr="008E302F">
        <w:trPr>
          <w:trHeight w:val="540"/>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4</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预算执行核销</w:t>
            </w: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预算核销管理</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numPr>
                <w:ilvl w:val="0"/>
                <w:numId w:val="3"/>
              </w:numPr>
              <w:adjustRightInd w:val="0"/>
              <w:snapToGrid w:val="0"/>
              <w:spacing w:after="200"/>
              <w:jc w:val="left"/>
              <w:rPr>
                <w:rFonts w:ascii="仿宋" w:eastAsia="仿宋" w:hAnsi="仿宋" w:cs="仿宋"/>
                <w:kern w:val="0"/>
                <w:sz w:val="24"/>
                <w:szCs w:val="24"/>
              </w:rPr>
            </w:pPr>
            <w:r w:rsidRPr="00270C94">
              <w:rPr>
                <w:rFonts w:ascii="仿宋" w:eastAsia="仿宋" w:hAnsi="仿宋" w:cs="仿宋" w:hint="eastAsia"/>
                <w:kern w:val="0"/>
                <w:sz w:val="24"/>
                <w:szCs w:val="24"/>
              </w:rPr>
              <w:t>支持总账数据的取数，实现预算执行数据的取数；</w:t>
            </w:r>
          </w:p>
          <w:p w:rsidR="00270C94" w:rsidRPr="00270C94" w:rsidRDefault="00270C94" w:rsidP="00270C94">
            <w:pPr>
              <w:widowControl/>
              <w:numPr>
                <w:ilvl w:val="0"/>
                <w:numId w:val="3"/>
              </w:numPr>
              <w:adjustRightInd w:val="0"/>
              <w:snapToGrid w:val="0"/>
              <w:spacing w:after="200"/>
              <w:jc w:val="left"/>
              <w:rPr>
                <w:rFonts w:ascii="仿宋" w:eastAsia="仿宋" w:hAnsi="仿宋" w:cs="仿宋"/>
                <w:sz w:val="24"/>
                <w:szCs w:val="24"/>
              </w:rPr>
            </w:pPr>
            <w:r w:rsidRPr="00270C94">
              <w:rPr>
                <w:rFonts w:ascii="仿宋" w:eastAsia="仿宋" w:hAnsi="仿宋" w:cs="仿宋" w:hint="eastAsia"/>
                <w:kern w:val="0"/>
                <w:sz w:val="24"/>
                <w:szCs w:val="24"/>
              </w:rPr>
              <w:t>支持不同的业务可以定义不同的取数规则，根据规则进行执行取数。</w:t>
            </w:r>
          </w:p>
        </w:tc>
      </w:tr>
      <w:tr w:rsidR="00270C94" w:rsidRPr="00270C94" w:rsidTr="008E302F">
        <w:trPr>
          <w:trHeight w:val="840"/>
        </w:trPr>
        <w:tc>
          <w:tcPr>
            <w:tcW w:w="281"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执行数据录入与审核</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对不能从相关业务系统获取的执行数据，提供执行数据的界面录入功能；</w:t>
            </w:r>
          </w:p>
        </w:tc>
      </w:tr>
      <w:tr w:rsidR="00270C94" w:rsidRPr="00270C94" w:rsidTr="008E302F">
        <w:trPr>
          <w:trHeight w:val="540"/>
        </w:trPr>
        <w:tc>
          <w:tcPr>
            <w:tcW w:w="281"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预警方案控制</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kern w:val="0"/>
                <w:sz w:val="24"/>
                <w:szCs w:val="24"/>
              </w:rPr>
              <w:t>根据不同医院预警设置模式可设置不同的预警方案，经费控制可细化到经费来源；</w:t>
            </w:r>
          </w:p>
        </w:tc>
      </w:tr>
      <w:tr w:rsidR="00270C94" w:rsidRPr="00270C94" w:rsidTr="008E302F">
        <w:trPr>
          <w:trHeight w:val="560"/>
        </w:trPr>
        <w:tc>
          <w:tcPr>
            <w:tcW w:w="281" w:type="pct"/>
            <w:vMerge w:val="restart"/>
            <w:tcBorders>
              <w:top w:val="single" w:sz="4" w:space="0" w:color="auto"/>
              <w:left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color w:val="000000"/>
                <w:sz w:val="24"/>
                <w:szCs w:val="24"/>
              </w:rPr>
              <w:lastRenderedPageBreak/>
              <w:t>5</w:t>
            </w:r>
          </w:p>
        </w:tc>
        <w:tc>
          <w:tcPr>
            <w:tcW w:w="905" w:type="pct"/>
            <w:vMerge w:val="restart"/>
            <w:tcBorders>
              <w:top w:val="single" w:sz="4" w:space="0" w:color="auto"/>
              <w:left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kern w:val="0"/>
                <w:sz w:val="24"/>
                <w:szCs w:val="24"/>
              </w:rPr>
              <w:t>预算调整管理</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color w:val="000000"/>
                <w:sz w:val="24"/>
                <w:szCs w:val="24"/>
              </w:rPr>
            </w:pPr>
            <w:r w:rsidRPr="00270C94">
              <w:rPr>
                <w:rFonts w:ascii="仿宋" w:eastAsia="仿宋" w:hAnsi="仿宋" w:cs="仿宋" w:hint="eastAsia"/>
                <w:kern w:val="0"/>
                <w:sz w:val="24"/>
                <w:szCs w:val="24"/>
              </w:rPr>
              <w:t>预算调整申请</w:t>
            </w:r>
          </w:p>
        </w:tc>
        <w:tc>
          <w:tcPr>
            <w:tcW w:w="2909"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color w:val="000000"/>
                <w:sz w:val="24"/>
                <w:szCs w:val="24"/>
              </w:rPr>
              <w:t>支持预算调整方式多样性，包括直接调整预算数据(自上而下)、调整申请</w:t>
            </w:r>
            <w:proofErr w:type="gramStart"/>
            <w:r w:rsidRPr="00270C94">
              <w:rPr>
                <w:rFonts w:ascii="仿宋" w:eastAsia="仿宋" w:hAnsi="仿宋" w:cs="仿宋" w:hint="eastAsia"/>
                <w:color w:val="000000"/>
                <w:sz w:val="24"/>
                <w:szCs w:val="24"/>
              </w:rPr>
              <w:t>单调整</w:t>
            </w:r>
            <w:proofErr w:type="gramEnd"/>
            <w:r w:rsidRPr="00270C94">
              <w:rPr>
                <w:rFonts w:ascii="仿宋" w:eastAsia="仿宋" w:hAnsi="仿宋" w:cs="仿宋" w:hint="eastAsia"/>
                <w:color w:val="000000"/>
                <w:sz w:val="24"/>
                <w:szCs w:val="24"/>
              </w:rPr>
              <w:t>审批(自下而上)</w:t>
            </w:r>
          </w:p>
        </w:tc>
      </w:tr>
      <w:tr w:rsidR="00270C94" w:rsidRPr="00270C94" w:rsidTr="008E302F">
        <w:trPr>
          <w:trHeight w:val="560"/>
        </w:trPr>
        <w:tc>
          <w:tcPr>
            <w:tcW w:w="281" w:type="pct"/>
            <w:vMerge/>
            <w:tcBorders>
              <w:left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color w:val="000000"/>
                <w:sz w:val="24"/>
                <w:szCs w:val="24"/>
              </w:rPr>
            </w:pPr>
          </w:p>
        </w:tc>
        <w:tc>
          <w:tcPr>
            <w:tcW w:w="905" w:type="pct"/>
            <w:vMerge/>
            <w:tcBorders>
              <w:left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kern w:val="0"/>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color w:val="000000"/>
                <w:sz w:val="24"/>
                <w:szCs w:val="24"/>
              </w:rPr>
            </w:pPr>
            <w:r w:rsidRPr="00270C94">
              <w:rPr>
                <w:rFonts w:ascii="仿宋" w:eastAsia="仿宋" w:hAnsi="仿宋" w:cs="仿宋" w:hint="eastAsia"/>
                <w:kern w:val="0"/>
                <w:sz w:val="24"/>
                <w:szCs w:val="24"/>
              </w:rPr>
              <w:t>预算调整下达</w:t>
            </w:r>
          </w:p>
        </w:tc>
        <w:tc>
          <w:tcPr>
            <w:tcW w:w="2909"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color w:val="000000"/>
                <w:sz w:val="24"/>
                <w:szCs w:val="24"/>
              </w:rPr>
              <w:t>参考年初预算编制中预算下达功能</w:t>
            </w:r>
          </w:p>
        </w:tc>
      </w:tr>
      <w:tr w:rsidR="00270C94" w:rsidRPr="00270C94" w:rsidTr="008E302F">
        <w:trPr>
          <w:trHeight w:val="560"/>
        </w:trPr>
        <w:tc>
          <w:tcPr>
            <w:tcW w:w="281" w:type="pct"/>
            <w:vMerge/>
            <w:tcBorders>
              <w:left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color w:val="000000"/>
                <w:sz w:val="24"/>
                <w:szCs w:val="24"/>
              </w:rPr>
            </w:pPr>
          </w:p>
        </w:tc>
        <w:tc>
          <w:tcPr>
            <w:tcW w:w="905" w:type="pct"/>
            <w:vMerge/>
            <w:tcBorders>
              <w:left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kern w:val="0"/>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kern w:val="0"/>
                <w:sz w:val="24"/>
                <w:szCs w:val="24"/>
              </w:rPr>
            </w:pPr>
            <w:r w:rsidRPr="00270C94">
              <w:rPr>
                <w:rFonts w:ascii="仿宋" w:eastAsia="仿宋" w:hAnsi="仿宋" w:cs="仿宋" w:hint="eastAsia"/>
                <w:kern w:val="0"/>
                <w:sz w:val="24"/>
                <w:szCs w:val="24"/>
              </w:rPr>
              <w:t>预算调整查询</w:t>
            </w:r>
          </w:p>
        </w:tc>
        <w:tc>
          <w:tcPr>
            <w:tcW w:w="2909"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kern w:val="0"/>
                <w:sz w:val="24"/>
                <w:szCs w:val="24"/>
              </w:rPr>
              <w:t>支持查询预算调整方式多样性，包括直接调整业务员计划数据(自上而下)、调整申请</w:t>
            </w:r>
            <w:proofErr w:type="gramStart"/>
            <w:r w:rsidRPr="00270C94">
              <w:rPr>
                <w:rFonts w:ascii="仿宋" w:eastAsia="仿宋" w:hAnsi="仿宋" w:cs="仿宋" w:hint="eastAsia"/>
                <w:kern w:val="0"/>
                <w:sz w:val="24"/>
                <w:szCs w:val="24"/>
              </w:rPr>
              <w:t>单调整</w:t>
            </w:r>
            <w:proofErr w:type="gramEnd"/>
            <w:r w:rsidRPr="00270C94">
              <w:rPr>
                <w:rFonts w:ascii="仿宋" w:eastAsia="仿宋" w:hAnsi="仿宋" w:cs="仿宋" w:hint="eastAsia"/>
                <w:kern w:val="0"/>
                <w:sz w:val="24"/>
                <w:szCs w:val="24"/>
              </w:rPr>
              <w:t>(自下而上)。</w:t>
            </w:r>
          </w:p>
        </w:tc>
      </w:tr>
      <w:tr w:rsidR="00270C94" w:rsidRPr="00270C94" w:rsidTr="008E302F">
        <w:trPr>
          <w:trHeight w:val="560"/>
        </w:trPr>
        <w:tc>
          <w:tcPr>
            <w:tcW w:w="281" w:type="pct"/>
            <w:vMerge/>
            <w:tcBorders>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color w:val="000000"/>
                <w:sz w:val="24"/>
                <w:szCs w:val="24"/>
              </w:rPr>
            </w:pPr>
          </w:p>
        </w:tc>
        <w:tc>
          <w:tcPr>
            <w:tcW w:w="905" w:type="pct"/>
            <w:vMerge/>
            <w:tcBorders>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kern w:val="0"/>
                <w:sz w:val="24"/>
                <w:szCs w:val="24"/>
              </w:rPr>
            </w:pPr>
          </w:p>
        </w:tc>
        <w:tc>
          <w:tcPr>
            <w:tcW w:w="904"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color w:val="000000"/>
                <w:sz w:val="24"/>
                <w:szCs w:val="24"/>
              </w:rPr>
            </w:pPr>
            <w:r w:rsidRPr="00270C94">
              <w:rPr>
                <w:rFonts w:ascii="仿宋" w:eastAsia="仿宋" w:hAnsi="仿宋" w:cs="仿宋" w:hint="eastAsia"/>
                <w:kern w:val="0"/>
                <w:sz w:val="24"/>
                <w:szCs w:val="24"/>
              </w:rPr>
              <w:t>预算调整分解</w:t>
            </w:r>
          </w:p>
        </w:tc>
        <w:tc>
          <w:tcPr>
            <w:tcW w:w="2909"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color w:val="000000"/>
                <w:sz w:val="24"/>
                <w:szCs w:val="24"/>
              </w:rPr>
              <w:t>查询查看历史预算调整记录</w:t>
            </w:r>
          </w:p>
        </w:tc>
      </w:tr>
      <w:tr w:rsidR="00270C94" w:rsidRPr="00270C94" w:rsidTr="008E302F">
        <w:trPr>
          <w:trHeight w:val="430"/>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6</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kern w:val="0"/>
                <w:sz w:val="24"/>
                <w:szCs w:val="24"/>
              </w:rPr>
              <w:t>预算分析报告</w:t>
            </w: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kern w:val="0"/>
                <w:sz w:val="24"/>
                <w:szCs w:val="24"/>
              </w:rPr>
            </w:pPr>
            <w:r w:rsidRPr="00270C94">
              <w:rPr>
                <w:rFonts w:ascii="仿宋" w:eastAsia="仿宋" w:hAnsi="仿宋" w:cs="仿宋" w:hint="eastAsia"/>
                <w:kern w:val="0"/>
                <w:sz w:val="24"/>
                <w:szCs w:val="24"/>
              </w:rPr>
              <w:t>进度分析</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kern w:val="0"/>
                <w:sz w:val="24"/>
                <w:szCs w:val="24"/>
              </w:rPr>
            </w:pPr>
            <w:r w:rsidRPr="00270C94">
              <w:rPr>
                <w:rFonts w:ascii="仿宋" w:eastAsia="仿宋" w:hAnsi="仿宋" w:cs="仿宋" w:hint="eastAsia"/>
                <w:kern w:val="0"/>
                <w:sz w:val="24"/>
                <w:szCs w:val="24"/>
              </w:rPr>
              <w:t>业务计划进度分析、收入进度分析、费用进度分析</w:t>
            </w:r>
          </w:p>
        </w:tc>
      </w:tr>
      <w:tr w:rsidR="00270C94" w:rsidRPr="00270C94" w:rsidTr="008E302F">
        <w:trPr>
          <w:trHeight w:val="400"/>
        </w:trPr>
        <w:tc>
          <w:tcPr>
            <w:tcW w:w="281"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kern w:val="0"/>
                <w:sz w:val="24"/>
                <w:szCs w:val="24"/>
              </w:rPr>
            </w:pPr>
            <w:r w:rsidRPr="00270C94">
              <w:rPr>
                <w:rFonts w:ascii="仿宋" w:eastAsia="仿宋" w:hAnsi="仿宋" w:cs="仿宋" w:hint="eastAsia"/>
                <w:kern w:val="0"/>
                <w:sz w:val="24"/>
                <w:szCs w:val="24"/>
              </w:rPr>
              <w:t>差异分析</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kern w:val="0"/>
                <w:sz w:val="24"/>
                <w:szCs w:val="24"/>
              </w:rPr>
            </w:pPr>
            <w:r w:rsidRPr="00270C94">
              <w:rPr>
                <w:rFonts w:ascii="仿宋" w:eastAsia="仿宋" w:hAnsi="仿宋" w:cs="仿宋" w:hint="eastAsia"/>
                <w:kern w:val="0"/>
                <w:sz w:val="24"/>
                <w:szCs w:val="24"/>
              </w:rPr>
              <w:t>执行数据与预算数据分析。</w:t>
            </w:r>
          </w:p>
        </w:tc>
      </w:tr>
      <w:tr w:rsidR="00270C94" w:rsidRPr="00270C94" w:rsidTr="008E302F">
        <w:trPr>
          <w:trHeight w:val="400"/>
        </w:trPr>
        <w:tc>
          <w:tcPr>
            <w:tcW w:w="281"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kern w:val="0"/>
                <w:sz w:val="24"/>
                <w:szCs w:val="24"/>
              </w:rPr>
            </w:pPr>
            <w:r w:rsidRPr="00270C94">
              <w:rPr>
                <w:rFonts w:ascii="仿宋" w:eastAsia="仿宋" w:hAnsi="仿宋" w:cs="仿宋" w:hint="eastAsia"/>
                <w:kern w:val="0"/>
                <w:sz w:val="24"/>
                <w:szCs w:val="24"/>
              </w:rPr>
              <w:t>对比分析</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kern w:val="0"/>
                <w:sz w:val="24"/>
                <w:szCs w:val="24"/>
              </w:rPr>
            </w:pPr>
            <w:r w:rsidRPr="00270C94">
              <w:rPr>
                <w:rFonts w:ascii="仿宋" w:eastAsia="仿宋" w:hAnsi="仿宋" w:cs="仿宋" w:hint="eastAsia"/>
                <w:kern w:val="0"/>
                <w:sz w:val="24"/>
                <w:szCs w:val="24"/>
              </w:rPr>
              <w:t>本期数据与历史同比分析。</w:t>
            </w:r>
          </w:p>
        </w:tc>
      </w:tr>
      <w:tr w:rsidR="00270C94" w:rsidRPr="00270C94" w:rsidTr="008E302F">
        <w:trPr>
          <w:trHeight w:val="400"/>
        </w:trPr>
        <w:tc>
          <w:tcPr>
            <w:tcW w:w="281"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kern w:val="0"/>
                <w:sz w:val="24"/>
                <w:szCs w:val="24"/>
              </w:rPr>
            </w:pPr>
            <w:r w:rsidRPr="00270C94">
              <w:rPr>
                <w:rFonts w:ascii="仿宋" w:eastAsia="仿宋" w:hAnsi="仿宋" w:cs="仿宋" w:hint="eastAsia"/>
                <w:kern w:val="0"/>
                <w:sz w:val="24"/>
                <w:szCs w:val="24"/>
              </w:rPr>
              <w:t>横向分析</w:t>
            </w:r>
          </w:p>
        </w:tc>
        <w:tc>
          <w:tcPr>
            <w:tcW w:w="2909"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kern w:val="0"/>
                <w:sz w:val="24"/>
                <w:szCs w:val="24"/>
              </w:rPr>
            </w:pPr>
            <w:r w:rsidRPr="00270C94">
              <w:rPr>
                <w:rFonts w:ascii="仿宋" w:eastAsia="仿宋" w:hAnsi="仿宋" w:cs="仿宋" w:hint="eastAsia"/>
                <w:kern w:val="0"/>
                <w:sz w:val="24"/>
                <w:szCs w:val="24"/>
              </w:rPr>
              <w:t>不同科室执行进度分析。</w:t>
            </w:r>
          </w:p>
        </w:tc>
      </w:tr>
      <w:tr w:rsidR="00270C94" w:rsidRPr="00270C94" w:rsidTr="008E302F">
        <w:trPr>
          <w:trHeight w:val="423"/>
        </w:trPr>
        <w:tc>
          <w:tcPr>
            <w:tcW w:w="281"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kern w:val="0"/>
                <w:sz w:val="24"/>
                <w:szCs w:val="24"/>
              </w:rPr>
            </w:pPr>
            <w:r w:rsidRPr="00270C94">
              <w:rPr>
                <w:rFonts w:ascii="仿宋" w:eastAsia="仿宋" w:hAnsi="仿宋" w:cs="仿宋" w:hint="eastAsia"/>
                <w:kern w:val="0"/>
                <w:sz w:val="24"/>
                <w:szCs w:val="24"/>
              </w:rPr>
              <w:t>结构分析</w:t>
            </w:r>
          </w:p>
        </w:tc>
        <w:tc>
          <w:tcPr>
            <w:tcW w:w="2909"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kern w:val="0"/>
                <w:sz w:val="24"/>
                <w:szCs w:val="24"/>
              </w:rPr>
            </w:pPr>
            <w:r w:rsidRPr="00270C94">
              <w:rPr>
                <w:rFonts w:ascii="仿宋" w:eastAsia="仿宋" w:hAnsi="仿宋" w:cs="仿宋" w:hint="eastAsia"/>
                <w:kern w:val="0"/>
                <w:sz w:val="24"/>
                <w:szCs w:val="24"/>
              </w:rPr>
              <w:t>收入结构、支出结构、业务量结构。</w:t>
            </w:r>
          </w:p>
        </w:tc>
      </w:tr>
    </w:tbl>
    <w:p w:rsidR="00270C94" w:rsidRDefault="00270C94" w:rsidP="00270C94">
      <w:pPr>
        <w:rPr>
          <w:rFonts w:ascii="宋体" w:hAnsi="宋体" w:cs="Times New Roman"/>
          <w:b/>
          <w:sz w:val="32"/>
          <w:szCs w:val="32"/>
        </w:rPr>
      </w:pPr>
    </w:p>
    <w:p w:rsidR="00270C94" w:rsidRDefault="00270C94">
      <w:pPr>
        <w:widowControl/>
        <w:jc w:val="left"/>
        <w:rPr>
          <w:rFonts w:ascii="宋体" w:hAnsi="宋体" w:cs="Times New Roman"/>
          <w:b/>
          <w:sz w:val="32"/>
          <w:szCs w:val="32"/>
        </w:rPr>
      </w:pPr>
      <w:r>
        <w:rPr>
          <w:rFonts w:ascii="宋体" w:hAnsi="宋体" w:cs="Times New Roman"/>
          <w:b/>
          <w:sz w:val="32"/>
          <w:szCs w:val="32"/>
        </w:rPr>
        <w:br w:type="page"/>
      </w:r>
    </w:p>
    <w:p w:rsidR="00270C94" w:rsidRDefault="00270C94" w:rsidP="00270C94">
      <w:pPr>
        <w:widowControl/>
        <w:ind w:firstLineChars="200" w:firstLine="640"/>
        <w:jc w:val="left"/>
        <w:rPr>
          <w:rFonts w:ascii="宋体" w:hAnsi="宋体" w:cs="Times New Roman"/>
          <w:b/>
          <w:sz w:val="32"/>
          <w:szCs w:val="32"/>
        </w:rPr>
      </w:pPr>
      <w:r>
        <w:rPr>
          <w:rFonts w:ascii="宋体" w:hAnsi="宋体" w:hint="eastAsia"/>
          <w:b/>
          <w:sz w:val="32"/>
          <w:szCs w:val="32"/>
        </w:rPr>
        <w:lastRenderedPageBreak/>
        <w:t>2</w:t>
      </w:r>
      <w:r>
        <w:rPr>
          <w:rFonts w:ascii="宋体" w:hAnsi="宋体" w:hint="eastAsia"/>
          <w:b/>
          <w:sz w:val="32"/>
          <w:szCs w:val="32"/>
        </w:rPr>
        <w:t>、“网上财务审批系统”：</w:t>
      </w:r>
    </w:p>
    <w:tbl>
      <w:tblPr>
        <w:tblW w:w="5000" w:type="pct"/>
        <w:tblLook w:val="04A0" w:firstRow="1" w:lastRow="0" w:firstColumn="1" w:lastColumn="0" w:noHBand="0" w:noVBand="1"/>
      </w:tblPr>
      <w:tblGrid>
        <w:gridCol w:w="462"/>
        <w:gridCol w:w="1375"/>
        <w:gridCol w:w="1108"/>
        <w:gridCol w:w="5351"/>
      </w:tblGrid>
      <w:tr w:rsidR="00270C94" w:rsidRPr="00270C94" w:rsidTr="008E302F">
        <w:trPr>
          <w:trHeight w:val="60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b/>
                <w:sz w:val="24"/>
                <w:szCs w:val="24"/>
              </w:rPr>
              <w:t>网上财务审批系统</w:t>
            </w:r>
          </w:p>
        </w:tc>
      </w:tr>
      <w:tr w:rsidR="00270C94" w:rsidRPr="00270C94" w:rsidTr="008E302F">
        <w:trPr>
          <w:trHeight w:val="600"/>
          <w:tblHead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序号</w:t>
            </w:r>
          </w:p>
        </w:tc>
        <w:tc>
          <w:tcPr>
            <w:tcW w:w="829"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模块</w:t>
            </w:r>
          </w:p>
        </w:tc>
        <w:tc>
          <w:tcPr>
            <w:tcW w:w="668"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功能</w:t>
            </w:r>
          </w:p>
        </w:tc>
        <w:tc>
          <w:tcPr>
            <w:tcW w:w="3225"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功能明细</w:t>
            </w:r>
          </w:p>
        </w:tc>
      </w:tr>
      <w:tr w:rsidR="00270C94" w:rsidRPr="00270C94" w:rsidTr="008E302F">
        <w:trPr>
          <w:trHeight w:val="1120"/>
        </w:trPr>
        <w:tc>
          <w:tcPr>
            <w:tcW w:w="278"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1</w:t>
            </w:r>
          </w:p>
        </w:tc>
        <w:tc>
          <w:tcPr>
            <w:tcW w:w="829"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kern w:val="0"/>
                <w:sz w:val="24"/>
                <w:szCs w:val="24"/>
              </w:rPr>
              <w:t>报销申请</w:t>
            </w:r>
          </w:p>
        </w:tc>
        <w:tc>
          <w:tcPr>
            <w:tcW w:w="668"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kern w:val="0"/>
                <w:sz w:val="24"/>
                <w:szCs w:val="24"/>
              </w:rPr>
              <w:t>报销申请</w:t>
            </w:r>
          </w:p>
        </w:tc>
        <w:tc>
          <w:tcPr>
            <w:tcW w:w="3225"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宋体" w:hint="eastAsia"/>
                <w:kern w:val="0"/>
                <w:sz w:val="24"/>
                <w:szCs w:val="24"/>
              </w:rPr>
              <w:t>支持在线填写报销单。包括通用经费报销单、差旅费报销单、借款单、我要出差、资产请款单、费用计提表、成本计算表、资产汇总表等表单。</w:t>
            </w:r>
          </w:p>
        </w:tc>
      </w:tr>
      <w:tr w:rsidR="00270C94" w:rsidRPr="00270C94" w:rsidTr="008E302F">
        <w:trPr>
          <w:trHeight w:val="560"/>
        </w:trPr>
        <w:tc>
          <w:tcPr>
            <w:tcW w:w="278" w:type="pc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2</w:t>
            </w:r>
          </w:p>
        </w:tc>
        <w:tc>
          <w:tcPr>
            <w:tcW w:w="829" w:type="pc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kern w:val="0"/>
                <w:sz w:val="24"/>
                <w:szCs w:val="24"/>
              </w:rPr>
              <w:t>财务稽核</w:t>
            </w:r>
          </w:p>
        </w:tc>
        <w:tc>
          <w:tcPr>
            <w:tcW w:w="668"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kern w:val="0"/>
                <w:sz w:val="24"/>
                <w:szCs w:val="24"/>
              </w:rPr>
              <w:t>财务稽核</w:t>
            </w:r>
          </w:p>
        </w:tc>
        <w:tc>
          <w:tcPr>
            <w:tcW w:w="3225"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宋体" w:hint="eastAsia"/>
                <w:kern w:val="0"/>
                <w:sz w:val="24"/>
                <w:szCs w:val="24"/>
              </w:rPr>
              <w:t>支持初审会计查看单据内容，查看上传的影像，填写审批意见，进行审批、驳回操作。</w:t>
            </w:r>
          </w:p>
        </w:tc>
      </w:tr>
      <w:tr w:rsidR="00270C94" w:rsidRPr="00270C94" w:rsidTr="008E302F">
        <w:trPr>
          <w:trHeight w:val="400"/>
        </w:trPr>
        <w:tc>
          <w:tcPr>
            <w:tcW w:w="278"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3</w:t>
            </w:r>
          </w:p>
        </w:tc>
        <w:tc>
          <w:tcPr>
            <w:tcW w:w="829"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kern w:val="0"/>
                <w:sz w:val="24"/>
                <w:szCs w:val="24"/>
              </w:rPr>
              <w:t>报销审批</w:t>
            </w:r>
          </w:p>
        </w:tc>
        <w:tc>
          <w:tcPr>
            <w:tcW w:w="668"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kern w:val="0"/>
                <w:sz w:val="24"/>
                <w:szCs w:val="24"/>
              </w:rPr>
              <w:t>审批</w:t>
            </w:r>
            <w:r w:rsidRPr="00270C94">
              <w:rPr>
                <w:rFonts w:ascii="仿宋" w:eastAsia="仿宋" w:hAnsi="仿宋" w:cs="宋体" w:hint="eastAsia"/>
                <w:kern w:val="0"/>
                <w:sz w:val="24"/>
                <w:szCs w:val="24"/>
              </w:rPr>
              <w:t>环节</w:t>
            </w:r>
          </w:p>
        </w:tc>
        <w:tc>
          <w:tcPr>
            <w:tcW w:w="3225"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宋体" w:hint="eastAsia"/>
                <w:kern w:val="0"/>
                <w:sz w:val="24"/>
                <w:szCs w:val="24"/>
              </w:rPr>
              <w:t>支持根据医院需求，不同单据不同审批流程灵活定义。</w:t>
            </w:r>
          </w:p>
        </w:tc>
      </w:tr>
      <w:tr w:rsidR="00270C94" w:rsidRPr="00270C94" w:rsidTr="008E302F">
        <w:trPr>
          <w:trHeight w:val="90"/>
        </w:trPr>
        <w:tc>
          <w:tcPr>
            <w:tcW w:w="278"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29"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68"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hint="eastAsia"/>
                <w:kern w:val="0"/>
                <w:sz w:val="24"/>
                <w:szCs w:val="24"/>
              </w:rPr>
              <w:t>审批流程</w:t>
            </w:r>
          </w:p>
        </w:tc>
        <w:tc>
          <w:tcPr>
            <w:tcW w:w="3225"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宋体" w:hint="eastAsia"/>
                <w:kern w:val="0"/>
                <w:sz w:val="24"/>
                <w:szCs w:val="24"/>
              </w:rPr>
              <w:t>支持多种审批分流方式，按金额分档、经办人身份信息等审批分流处理。</w:t>
            </w:r>
          </w:p>
        </w:tc>
      </w:tr>
      <w:tr w:rsidR="00270C94" w:rsidRPr="00270C94" w:rsidTr="008E302F">
        <w:trPr>
          <w:trHeight w:val="742"/>
        </w:trPr>
        <w:tc>
          <w:tcPr>
            <w:tcW w:w="278"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68"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hint="eastAsia"/>
                <w:kern w:val="0"/>
                <w:sz w:val="24"/>
                <w:szCs w:val="24"/>
              </w:rPr>
              <w:t>审批管理</w:t>
            </w:r>
          </w:p>
        </w:tc>
        <w:tc>
          <w:tcPr>
            <w:tcW w:w="3225"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宋体" w:hint="eastAsia"/>
                <w:kern w:val="0"/>
                <w:sz w:val="24"/>
                <w:szCs w:val="24"/>
              </w:rPr>
              <w:t>支持业务领导直接在网上查看单据内容，填写审批意见，进行审批操作。</w:t>
            </w:r>
          </w:p>
        </w:tc>
      </w:tr>
      <w:tr w:rsidR="00270C94" w:rsidRPr="00270C94" w:rsidTr="008E302F">
        <w:trPr>
          <w:trHeight w:val="790"/>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4</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kern w:val="0"/>
                <w:sz w:val="24"/>
                <w:szCs w:val="24"/>
              </w:rPr>
              <w:t>流程设计</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宋体" w:hint="eastAsia"/>
                <w:kern w:val="0"/>
                <w:sz w:val="24"/>
                <w:szCs w:val="24"/>
              </w:rPr>
              <w:t>自定义设计</w:t>
            </w:r>
          </w:p>
        </w:tc>
        <w:tc>
          <w:tcPr>
            <w:tcW w:w="3225"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宋体" w:hint="eastAsia"/>
                <w:kern w:val="0"/>
                <w:sz w:val="24"/>
                <w:szCs w:val="24"/>
              </w:rPr>
              <w:t>支持审批流程自定义设计，能针对不同的单据设计不同的审批流程。</w:t>
            </w:r>
          </w:p>
        </w:tc>
      </w:tr>
      <w:tr w:rsidR="00270C94" w:rsidRPr="00270C94" w:rsidTr="008E302F">
        <w:trPr>
          <w:trHeight w:val="752"/>
        </w:trPr>
        <w:tc>
          <w:tcPr>
            <w:tcW w:w="278"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流程配置</w:t>
            </w:r>
          </w:p>
        </w:tc>
        <w:tc>
          <w:tcPr>
            <w:tcW w:w="3225"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宋体" w:hint="eastAsia"/>
                <w:kern w:val="0"/>
                <w:sz w:val="24"/>
                <w:szCs w:val="24"/>
              </w:rPr>
              <w:t>支持进行流转条件自定义设计，即超过金额上限自动流转到对应的审批人界面。</w:t>
            </w:r>
          </w:p>
        </w:tc>
      </w:tr>
      <w:tr w:rsidR="00270C94" w:rsidRPr="00270C94" w:rsidTr="008E302F">
        <w:trPr>
          <w:trHeight w:val="513"/>
        </w:trPr>
        <w:tc>
          <w:tcPr>
            <w:tcW w:w="278"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流程</w:t>
            </w:r>
            <w:r w:rsidRPr="00270C94">
              <w:rPr>
                <w:rFonts w:ascii="仿宋" w:eastAsia="仿宋" w:hAnsi="仿宋" w:cs="宋体" w:hint="eastAsia"/>
                <w:kern w:val="0"/>
                <w:sz w:val="24"/>
                <w:szCs w:val="24"/>
              </w:rPr>
              <w:t>查询</w:t>
            </w:r>
          </w:p>
        </w:tc>
        <w:tc>
          <w:tcPr>
            <w:tcW w:w="3225"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宋体"/>
                <w:kern w:val="0"/>
                <w:sz w:val="24"/>
                <w:szCs w:val="24"/>
              </w:rPr>
            </w:pPr>
            <w:r w:rsidRPr="00270C94">
              <w:rPr>
                <w:rFonts w:ascii="仿宋" w:eastAsia="仿宋" w:hAnsi="仿宋" w:cs="宋体" w:hint="eastAsia"/>
                <w:kern w:val="0"/>
                <w:sz w:val="24"/>
                <w:szCs w:val="24"/>
              </w:rPr>
              <w:t>支持审批过程查询，可以查询当前单据审批状态。</w:t>
            </w:r>
          </w:p>
        </w:tc>
      </w:tr>
      <w:tr w:rsidR="00270C94" w:rsidRPr="00270C94" w:rsidTr="008E302F">
        <w:trPr>
          <w:trHeight w:val="873"/>
        </w:trPr>
        <w:tc>
          <w:tcPr>
            <w:tcW w:w="278"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流程</w:t>
            </w:r>
            <w:r w:rsidRPr="00270C94">
              <w:rPr>
                <w:rFonts w:ascii="仿宋" w:eastAsia="仿宋" w:hAnsi="仿宋" w:cs="宋体" w:hint="eastAsia"/>
                <w:kern w:val="0"/>
                <w:sz w:val="24"/>
                <w:szCs w:val="24"/>
              </w:rPr>
              <w:t>提醒</w:t>
            </w:r>
          </w:p>
        </w:tc>
        <w:tc>
          <w:tcPr>
            <w:tcW w:w="3225"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宋体"/>
                <w:kern w:val="0"/>
                <w:sz w:val="24"/>
                <w:szCs w:val="24"/>
              </w:rPr>
            </w:pPr>
            <w:r w:rsidRPr="00270C94">
              <w:rPr>
                <w:rFonts w:ascii="仿宋" w:eastAsia="仿宋" w:hAnsi="仿宋" w:cs="宋体" w:hint="eastAsia"/>
                <w:kern w:val="0"/>
                <w:sz w:val="24"/>
                <w:szCs w:val="24"/>
              </w:rPr>
              <w:t>支持审批工作自动提醒，系统能以醒目的方式提醒有待审批业务。</w:t>
            </w:r>
          </w:p>
        </w:tc>
      </w:tr>
    </w:tbl>
    <w:p w:rsidR="00270C94" w:rsidRDefault="00270C94">
      <w:pPr>
        <w:widowControl/>
        <w:jc w:val="left"/>
        <w:rPr>
          <w:rFonts w:ascii="宋体" w:hAnsi="宋体" w:cs="Times New Roman"/>
          <w:b/>
          <w:sz w:val="32"/>
          <w:szCs w:val="32"/>
        </w:rPr>
      </w:pPr>
    </w:p>
    <w:p w:rsidR="00270C94" w:rsidRDefault="00270C94">
      <w:pPr>
        <w:widowControl/>
        <w:jc w:val="left"/>
        <w:rPr>
          <w:rFonts w:ascii="宋体" w:hAnsi="宋体" w:cs="Times New Roman"/>
          <w:b/>
          <w:sz w:val="32"/>
          <w:szCs w:val="32"/>
        </w:rPr>
      </w:pPr>
      <w:r>
        <w:rPr>
          <w:rFonts w:ascii="宋体" w:hAnsi="宋体" w:cs="Times New Roman"/>
          <w:b/>
          <w:sz w:val="32"/>
          <w:szCs w:val="32"/>
        </w:rPr>
        <w:br w:type="page"/>
      </w:r>
    </w:p>
    <w:p w:rsidR="00270C94" w:rsidRDefault="00270C94" w:rsidP="00270C94">
      <w:pPr>
        <w:widowControl/>
        <w:ind w:firstLineChars="200" w:firstLine="640"/>
        <w:jc w:val="left"/>
        <w:rPr>
          <w:rFonts w:ascii="宋体" w:hAnsi="宋体" w:cs="Times New Roman"/>
          <w:b/>
          <w:sz w:val="32"/>
          <w:szCs w:val="32"/>
        </w:rPr>
      </w:pPr>
      <w:r>
        <w:rPr>
          <w:rFonts w:ascii="宋体" w:hAnsi="宋体" w:hint="eastAsia"/>
          <w:b/>
          <w:sz w:val="32"/>
          <w:szCs w:val="32"/>
        </w:rPr>
        <w:lastRenderedPageBreak/>
        <w:t>3</w:t>
      </w:r>
      <w:r>
        <w:rPr>
          <w:rFonts w:ascii="宋体" w:hAnsi="宋体" w:hint="eastAsia"/>
          <w:b/>
          <w:sz w:val="32"/>
          <w:szCs w:val="32"/>
        </w:rPr>
        <w:t>、“成本核算系统”：</w:t>
      </w:r>
    </w:p>
    <w:tbl>
      <w:tblPr>
        <w:tblW w:w="5000" w:type="pct"/>
        <w:tblLook w:val="04A0" w:firstRow="1" w:lastRow="0" w:firstColumn="1" w:lastColumn="0" w:noHBand="0" w:noVBand="1"/>
      </w:tblPr>
      <w:tblGrid>
        <w:gridCol w:w="456"/>
        <w:gridCol w:w="1407"/>
        <w:gridCol w:w="1071"/>
        <w:gridCol w:w="5362"/>
      </w:tblGrid>
      <w:tr w:rsidR="00270C94" w:rsidRPr="00270C94" w:rsidTr="008E302F">
        <w:trPr>
          <w:trHeight w:val="60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b/>
                <w:sz w:val="24"/>
                <w:szCs w:val="24"/>
              </w:rPr>
              <w:t>成本核算系统</w:t>
            </w:r>
          </w:p>
        </w:tc>
      </w:tr>
      <w:tr w:rsidR="00270C94" w:rsidRPr="00270C94" w:rsidTr="008E302F">
        <w:trPr>
          <w:trHeight w:val="600"/>
          <w:tblHeader/>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序号</w:t>
            </w:r>
          </w:p>
        </w:tc>
        <w:tc>
          <w:tcPr>
            <w:tcW w:w="850"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模块</w:t>
            </w:r>
          </w:p>
        </w:tc>
        <w:tc>
          <w:tcPr>
            <w:tcW w:w="647"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功能</w:t>
            </w:r>
          </w:p>
        </w:tc>
        <w:tc>
          <w:tcPr>
            <w:tcW w:w="3231"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功能明细</w:t>
            </w:r>
          </w:p>
        </w:tc>
      </w:tr>
      <w:tr w:rsidR="00270C94" w:rsidRPr="00270C94" w:rsidTr="008E302F">
        <w:trPr>
          <w:trHeight w:val="530"/>
        </w:trPr>
        <w:tc>
          <w:tcPr>
            <w:tcW w:w="270" w:type="pct"/>
            <w:vMerge w:val="restart"/>
            <w:tcBorders>
              <w:top w:val="nil"/>
              <w:left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1</w:t>
            </w:r>
          </w:p>
        </w:tc>
        <w:tc>
          <w:tcPr>
            <w:tcW w:w="850" w:type="pct"/>
            <w:vMerge w:val="restart"/>
            <w:tcBorders>
              <w:top w:val="nil"/>
              <w:left w:val="single" w:sz="4" w:space="0" w:color="auto"/>
              <w:right w:val="single" w:sz="4" w:space="0" w:color="auto"/>
            </w:tcBorders>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核算方案(体系)管理</w:t>
            </w:r>
          </w:p>
        </w:tc>
        <w:tc>
          <w:tcPr>
            <w:tcW w:w="647"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理论核算</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确定基础要素(核算参数、核算体系、科目编码)的编码规则， 责任中心、责任个人、收入项目、支出项目等核算要素的理论分类；内部分配模式设定；</w:t>
            </w:r>
          </w:p>
        </w:tc>
      </w:tr>
      <w:tr w:rsidR="00270C94" w:rsidRPr="00270C94" w:rsidTr="008E302F">
        <w:trPr>
          <w:trHeight w:val="840"/>
        </w:trPr>
        <w:tc>
          <w:tcPr>
            <w:tcW w:w="27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center"/>
              <w:rPr>
                <w:rFonts w:ascii="仿宋" w:eastAsia="仿宋" w:hAnsi="仿宋" w:cs="仿宋"/>
                <w:sz w:val="24"/>
                <w:szCs w:val="24"/>
              </w:rPr>
            </w:pPr>
          </w:p>
        </w:tc>
        <w:tc>
          <w:tcPr>
            <w:tcW w:w="647"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核算体系</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1)责任中心定义</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2)责任个人定义</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3)收入项目定义</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4)成本项目定义</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5)内外服务计量指标定义</w:t>
            </w:r>
          </w:p>
        </w:tc>
      </w:tr>
      <w:tr w:rsidR="00270C94" w:rsidRPr="00270C94" w:rsidTr="008E302F">
        <w:trPr>
          <w:trHeight w:val="560"/>
        </w:trPr>
        <w:tc>
          <w:tcPr>
            <w:tcW w:w="27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center"/>
              <w:rPr>
                <w:rFonts w:ascii="仿宋" w:eastAsia="仿宋" w:hAnsi="仿宋" w:cs="仿宋"/>
                <w:sz w:val="24"/>
                <w:szCs w:val="24"/>
              </w:rPr>
            </w:pPr>
          </w:p>
        </w:tc>
        <w:tc>
          <w:tcPr>
            <w:tcW w:w="647"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全成本</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分摊流程</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采用成本分摊流程按新的《医院会计制度》和《医院财务制度》和《江苏省医院成本核算与管理规范》设计。</w:t>
            </w:r>
          </w:p>
        </w:tc>
      </w:tr>
      <w:tr w:rsidR="00270C94" w:rsidRPr="00270C94" w:rsidTr="008E302F">
        <w:trPr>
          <w:trHeight w:val="431"/>
        </w:trPr>
        <w:tc>
          <w:tcPr>
            <w:tcW w:w="27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收入归属</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微软雅黑" w:hAnsi="仿宋" w:cs="仿宋"/>
                <w:sz w:val="24"/>
                <w:szCs w:val="24"/>
              </w:rPr>
            </w:pPr>
            <w:r w:rsidRPr="00270C94">
              <w:rPr>
                <w:rFonts w:ascii="仿宋" w:eastAsia="仿宋" w:hAnsi="仿宋" w:cs="仿宋" w:hint="eastAsia"/>
                <w:sz w:val="24"/>
                <w:szCs w:val="24"/>
              </w:rPr>
              <w:t>参与分配人员、分配比例、科室收入内部分解、特殊</w:t>
            </w:r>
            <w:proofErr w:type="gramStart"/>
            <w:r w:rsidRPr="00270C94">
              <w:rPr>
                <w:rFonts w:ascii="仿宋" w:eastAsia="仿宋" w:hAnsi="仿宋" w:cs="仿宋" w:hint="eastAsia"/>
                <w:sz w:val="24"/>
                <w:szCs w:val="24"/>
              </w:rPr>
              <w:t>收入科间转移</w:t>
            </w:r>
            <w:proofErr w:type="gramEnd"/>
            <w:r w:rsidRPr="00270C94">
              <w:rPr>
                <w:rFonts w:ascii="仿宋" w:eastAsia="仿宋" w:hAnsi="仿宋" w:cs="仿宋" w:hint="eastAsia"/>
                <w:sz w:val="24"/>
                <w:szCs w:val="24"/>
              </w:rPr>
              <w:t>。</w:t>
            </w:r>
          </w:p>
        </w:tc>
      </w:tr>
      <w:tr w:rsidR="00270C94" w:rsidRPr="00270C94" w:rsidTr="008E302F">
        <w:trPr>
          <w:trHeight w:val="560"/>
        </w:trPr>
        <w:tc>
          <w:tcPr>
            <w:tcW w:w="27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nil"/>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服务计量</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满足成本核算的“受益原则”、“配比原则”、“权责发生制”等原则，可灵活设置科学、合理的参数，便于不同成本项目采取不同的归集分摊方法，诸如：按面积分摊、按人员分摊、按服务量分摊等。</w:t>
            </w:r>
          </w:p>
        </w:tc>
      </w:tr>
      <w:tr w:rsidR="00270C94" w:rsidRPr="00270C94" w:rsidTr="008E302F">
        <w:trPr>
          <w:trHeight w:val="560"/>
        </w:trPr>
        <w:tc>
          <w:tcPr>
            <w:tcW w:w="270"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2</w:t>
            </w:r>
          </w:p>
        </w:tc>
        <w:tc>
          <w:tcPr>
            <w:tcW w:w="850"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核算数据采集</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核算工作表定义</w:t>
            </w:r>
          </w:p>
        </w:tc>
        <w:tc>
          <w:tcPr>
            <w:tcW w:w="3231"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包括：表号、表名、类型、核算分类、分配方式、发生频率、业务分类、主从分类。</w:t>
            </w:r>
          </w:p>
        </w:tc>
      </w:tr>
      <w:tr w:rsidR="00270C94" w:rsidRPr="00270C94" w:rsidTr="008E302F">
        <w:trPr>
          <w:trHeight w:val="84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核算工作表设计</w:t>
            </w:r>
          </w:p>
        </w:tc>
        <w:tc>
          <w:tcPr>
            <w:tcW w:w="3231"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包括收入采集表格、支出采集表格、服务计量采集表格、自定义报表设计。</w:t>
            </w:r>
          </w:p>
        </w:tc>
      </w:tr>
      <w:tr w:rsidR="00270C94" w:rsidRPr="00270C94" w:rsidTr="008E302F">
        <w:trPr>
          <w:trHeight w:val="56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原始收入数据采集</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1)收入台账录入</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2)收入表格采集</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3)收入数据接口采集</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4)收入数据角色调整</w:t>
            </w:r>
          </w:p>
        </w:tc>
      </w:tr>
      <w:tr w:rsidR="00270C94" w:rsidRPr="00270C94" w:rsidTr="008E302F">
        <w:trPr>
          <w:trHeight w:val="56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原始支出数据采集</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1)</w:t>
            </w:r>
            <w:proofErr w:type="gramStart"/>
            <w:r w:rsidRPr="00270C94">
              <w:rPr>
                <w:rFonts w:ascii="仿宋" w:eastAsia="仿宋" w:hAnsi="仿宋" w:cs="仿宋" w:hint="eastAsia"/>
                <w:sz w:val="24"/>
                <w:szCs w:val="24"/>
              </w:rPr>
              <w:t>支出台</w:t>
            </w:r>
            <w:proofErr w:type="gramEnd"/>
            <w:r w:rsidRPr="00270C94">
              <w:rPr>
                <w:rFonts w:ascii="仿宋" w:eastAsia="仿宋" w:hAnsi="仿宋" w:cs="仿宋" w:hint="eastAsia"/>
                <w:sz w:val="24"/>
                <w:szCs w:val="24"/>
              </w:rPr>
              <w:t>账录入；</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2)支出表格采集；</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3)支出数据接口采集；</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4)支出数据角色调整；</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5)支出分期摊销处理；</w:t>
            </w:r>
          </w:p>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6)支出</w:t>
            </w:r>
            <w:proofErr w:type="gramStart"/>
            <w:r w:rsidRPr="00270C94">
              <w:rPr>
                <w:rFonts w:ascii="仿宋" w:eastAsia="仿宋" w:hAnsi="仿宋" w:cs="仿宋" w:hint="eastAsia"/>
                <w:sz w:val="24"/>
                <w:szCs w:val="24"/>
              </w:rPr>
              <w:t>数据科间调整</w:t>
            </w:r>
            <w:proofErr w:type="gramEnd"/>
            <w:r w:rsidRPr="00270C94">
              <w:rPr>
                <w:rFonts w:ascii="仿宋" w:eastAsia="仿宋" w:hAnsi="仿宋" w:cs="仿宋" w:hint="eastAsia"/>
                <w:sz w:val="24"/>
                <w:szCs w:val="24"/>
              </w:rPr>
              <w:t>处理；</w:t>
            </w:r>
          </w:p>
        </w:tc>
      </w:tr>
      <w:tr w:rsidR="00270C94" w:rsidRPr="00270C94" w:rsidTr="008E302F">
        <w:trPr>
          <w:trHeight w:val="28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服务计量数据采集</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支持无论是接受外部服务(水、电、暖等)还是提供对内服务(供应室、洗涤、卫生等)和对外服务</w:t>
            </w:r>
            <w:r w:rsidRPr="00270C94">
              <w:rPr>
                <w:rFonts w:ascii="仿宋" w:eastAsia="仿宋" w:hAnsi="仿宋" w:cs="仿宋" w:hint="eastAsia"/>
                <w:sz w:val="24"/>
                <w:szCs w:val="24"/>
              </w:rPr>
              <w:lastRenderedPageBreak/>
              <w:t>(诊次、床日、出院人次等)的计量信息，均可人工录入、表格采集或接口导入；</w:t>
            </w:r>
          </w:p>
        </w:tc>
      </w:tr>
      <w:tr w:rsidR="00270C94" w:rsidRPr="00270C94" w:rsidTr="008E302F">
        <w:trPr>
          <w:trHeight w:val="56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数据审核</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left"/>
              <w:rPr>
                <w:rFonts w:ascii="仿宋" w:eastAsia="仿宋" w:hAnsi="仿宋" w:cs="仿宋"/>
                <w:sz w:val="24"/>
                <w:szCs w:val="24"/>
              </w:rPr>
            </w:pPr>
            <w:r w:rsidRPr="00270C94">
              <w:rPr>
                <w:rFonts w:ascii="仿宋" w:eastAsia="仿宋" w:hAnsi="仿宋" w:cs="仿宋" w:hint="eastAsia"/>
                <w:sz w:val="24"/>
                <w:szCs w:val="24"/>
              </w:rPr>
              <w:t>1)支持原始收支核算严格遵循会计原则；</w:t>
            </w:r>
          </w:p>
          <w:p w:rsidR="00270C94" w:rsidRPr="00270C94" w:rsidRDefault="00270C94" w:rsidP="00270C94">
            <w:pPr>
              <w:widowControl/>
              <w:jc w:val="left"/>
              <w:rPr>
                <w:rFonts w:ascii="仿宋" w:eastAsia="微软雅黑" w:hAnsi="仿宋" w:cs="仿宋"/>
                <w:sz w:val="24"/>
                <w:szCs w:val="24"/>
              </w:rPr>
            </w:pPr>
            <w:r w:rsidRPr="00270C94">
              <w:rPr>
                <w:rFonts w:ascii="仿宋" w:eastAsia="仿宋" w:hAnsi="仿宋" w:cs="仿宋" w:hint="eastAsia"/>
                <w:sz w:val="24"/>
                <w:szCs w:val="24"/>
              </w:rPr>
              <w:t>2)系统提供了按会计作业分工进行内部过程控制的功能。</w:t>
            </w:r>
          </w:p>
        </w:tc>
      </w:tr>
      <w:tr w:rsidR="00270C94" w:rsidRPr="00270C94" w:rsidTr="008E302F">
        <w:trPr>
          <w:trHeight w:val="560"/>
        </w:trPr>
        <w:tc>
          <w:tcPr>
            <w:tcW w:w="270"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3</w:t>
            </w:r>
          </w:p>
        </w:tc>
        <w:tc>
          <w:tcPr>
            <w:tcW w:w="850" w:type="pct"/>
            <w:vMerge w:val="restart"/>
            <w:tcBorders>
              <w:top w:val="single" w:sz="4" w:space="0" w:color="auto"/>
              <w:left w:val="single" w:sz="4" w:space="0" w:color="auto"/>
              <w:bottom w:val="nil"/>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科室成本核算</w:t>
            </w:r>
          </w:p>
        </w:tc>
        <w:tc>
          <w:tcPr>
            <w:tcW w:w="647"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成本分摊处理</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numPr>
                <w:ilvl w:val="0"/>
                <w:numId w:val="4"/>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采用多级多向分摊的方法，将医院科室分为临床服务类、医疗技术类（医技、药品）、医疗辅助类、行政管理类，并通过对各级分摊的方法设定，分别将全院的各项成本逐级分摊到直接医疗科室中，充分披露各级各类科室的全部成本；</w:t>
            </w:r>
          </w:p>
          <w:p w:rsidR="00270C94" w:rsidRPr="00270C94" w:rsidRDefault="00270C94" w:rsidP="00270C94">
            <w:pPr>
              <w:widowControl/>
              <w:numPr>
                <w:ilvl w:val="0"/>
                <w:numId w:val="4"/>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支持自动分摊计算，从而实现全成本核算数据的产出；</w:t>
            </w:r>
          </w:p>
          <w:p w:rsidR="00270C94" w:rsidRPr="00270C94" w:rsidRDefault="00270C94" w:rsidP="00270C94">
            <w:pPr>
              <w:widowControl/>
              <w:numPr>
                <w:ilvl w:val="0"/>
                <w:numId w:val="4"/>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支持成本归集与分摊后，实现会计核算与成本核算的结果保持一致；</w:t>
            </w:r>
          </w:p>
          <w:p w:rsidR="00270C94" w:rsidRPr="00270C94" w:rsidRDefault="00270C94" w:rsidP="00270C94">
            <w:pPr>
              <w:widowControl/>
              <w:numPr>
                <w:ilvl w:val="0"/>
                <w:numId w:val="4"/>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具备数据清除功能和重置分摊的功能。</w:t>
            </w:r>
          </w:p>
        </w:tc>
      </w:tr>
      <w:tr w:rsidR="00270C94" w:rsidRPr="00270C94" w:rsidTr="008E302F">
        <w:trPr>
          <w:trHeight w:val="84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nil"/>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成本账簿查询</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numPr>
                <w:ilvl w:val="0"/>
                <w:numId w:val="5"/>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按财务日期、责任中心、责任个人、收入项目、支出项目、收支表单、业务摘要等要素查询各单元的原始收支数据，并以不同格式输出EXCEL；</w:t>
            </w:r>
          </w:p>
          <w:p w:rsidR="00270C94" w:rsidRPr="00270C94" w:rsidRDefault="00270C94" w:rsidP="00270C94">
            <w:pPr>
              <w:widowControl/>
              <w:numPr>
                <w:ilvl w:val="0"/>
                <w:numId w:val="5"/>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按财务日期、责任中心、责任个人、收入项目、支出项目查询各单元的收入和支出的分配基数、分配率、分配结果，并以不同格式输出(EXCEL)。</w:t>
            </w:r>
          </w:p>
        </w:tc>
      </w:tr>
      <w:tr w:rsidR="00270C94" w:rsidRPr="00270C94" w:rsidTr="008E302F">
        <w:trPr>
          <w:trHeight w:val="56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成本数据稽核</w:t>
            </w:r>
          </w:p>
        </w:tc>
        <w:tc>
          <w:tcPr>
            <w:tcW w:w="3231"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tabs>
                <w:tab w:val="left" w:pos="312"/>
              </w:tabs>
              <w:jc w:val="left"/>
              <w:rPr>
                <w:rFonts w:ascii="仿宋" w:eastAsia="仿宋" w:hAnsi="仿宋" w:cs="仿宋"/>
                <w:sz w:val="24"/>
                <w:szCs w:val="24"/>
              </w:rPr>
            </w:pPr>
            <w:r w:rsidRPr="00270C94">
              <w:rPr>
                <w:rFonts w:ascii="仿宋" w:eastAsia="仿宋" w:hAnsi="仿宋" w:cs="仿宋" w:hint="eastAsia"/>
                <w:sz w:val="24"/>
                <w:szCs w:val="24"/>
              </w:rPr>
              <w:t>支持生成收入分配及支出分配与会计核算数据平衡稽核报告；</w:t>
            </w:r>
          </w:p>
        </w:tc>
      </w:tr>
      <w:tr w:rsidR="00270C94" w:rsidRPr="00270C94" w:rsidTr="008E302F">
        <w:trPr>
          <w:trHeight w:val="280"/>
        </w:trPr>
        <w:tc>
          <w:tcPr>
            <w:tcW w:w="27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850" w:type="pct"/>
            <w:vMerge/>
            <w:tcBorders>
              <w:top w:val="single" w:sz="4" w:space="0" w:color="auto"/>
              <w:left w:val="single" w:sz="4" w:space="0" w:color="auto"/>
              <w:bottom w:val="nil"/>
              <w:right w:val="single" w:sz="4" w:space="0" w:color="auto"/>
            </w:tcBorders>
            <w:vAlign w:val="center"/>
          </w:tcPr>
          <w:p w:rsidR="00270C94" w:rsidRPr="00270C94" w:rsidRDefault="00270C94" w:rsidP="00270C94">
            <w:pPr>
              <w:widowControl/>
              <w:jc w:val="left"/>
              <w:rPr>
                <w:rFonts w:ascii="仿宋" w:eastAsia="仿宋" w:hAnsi="仿宋" w:cs="仿宋"/>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成本核算报告</w:t>
            </w:r>
          </w:p>
        </w:tc>
        <w:tc>
          <w:tcPr>
            <w:tcW w:w="3231" w:type="pct"/>
            <w:tcBorders>
              <w:top w:val="single" w:sz="4" w:space="0" w:color="auto"/>
              <w:left w:val="nil"/>
              <w:bottom w:val="single" w:sz="4" w:space="0" w:color="auto"/>
              <w:right w:val="single" w:sz="4" w:space="0" w:color="auto"/>
            </w:tcBorders>
            <w:shd w:val="clear" w:color="auto" w:fill="auto"/>
            <w:vAlign w:val="center"/>
          </w:tcPr>
          <w:p w:rsidR="00270C94" w:rsidRPr="00270C94" w:rsidRDefault="00270C94" w:rsidP="00270C94">
            <w:pPr>
              <w:widowControl/>
              <w:numPr>
                <w:ilvl w:val="0"/>
                <w:numId w:val="6"/>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支持生成行业规范报告、默认格式化报告和医院自定义报表：医院费用总表、医院成本汇总表、责任中心成本计算表、诊次成本表、</w:t>
            </w:r>
            <w:proofErr w:type="gramStart"/>
            <w:r w:rsidRPr="00270C94">
              <w:rPr>
                <w:rFonts w:ascii="仿宋" w:eastAsia="仿宋" w:hAnsi="仿宋" w:cs="仿宋" w:hint="eastAsia"/>
                <w:sz w:val="24"/>
                <w:szCs w:val="24"/>
              </w:rPr>
              <w:t>床日成本表</w:t>
            </w:r>
            <w:proofErr w:type="gramEnd"/>
            <w:r w:rsidRPr="00270C94">
              <w:rPr>
                <w:rFonts w:ascii="仿宋" w:eastAsia="仿宋" w:hAnsi="仿宋" w:cs="仿宋" w:hint="eastAsia"/>
                <w:sz w:val="24"/>
                <w:szCs w:val="24"/>
              </w:rPr>
              <w:t>、出院人次成本表、医院各科室直接成本表、医院临床服务类科室全成本表、医院临床服务类科室全成本构成分析表、全院临床科室收支余报表、全院医技科室收支余报表、全院责任中心直接成本表、临床科室收支余报表、考核单元收入支出明细表、科室直接成本分配情况分析表、科室间接成本分配情况分析表；</w:t>
            </w:r>
          </w:p>
          <w:p w:rsidR="00270C94" w:rsidRPr="00270C94" w:rsidRDefault="00270C94" w:rsidP="00270C94">
            <w:pPr>
              <w:widowControl/>
              <w:numPr>
                <w:ilvl w:val="0"/>
                <w:numId w:val="6"/>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lastRenderedPageBreak/>
              <w:t>支持根据财务日期、责任中心、责任个人、收入项目、支出项目、结余等要素的不同组合生成相关成本分析图形(包括排行榜)；</w:t>
            </w:r>
          </w:p>
          <w:p w:rsidR="00270C94" w:rsidRPr="00270C94" w:rsidRDefault="00270C94" w:rsidP="00270C94">
            <w:pPr>
              <w:widowControl/>
              <w:numPr>
                <w:ilvl w:val="0"/>
                <w:numId w:val="6"/>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支持根据上述要素的不同组合，追踪分析成本分配全过程；</w:t>
            </w:r>
          </w:p>
          <w:p w:rsidR="00270C94" w:rsidRPr="00270C94" w:rsidRDefault="00270C94" w:rsidP="00270C94">
            <w:pPr>
              <w:widowControl/>
              <w:numPr>
                <w:ilvl w:val="0"/>
                <w:numId w:val="6"/>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支持根据管理要求，可二次开发各类高级成本分析报表；</w:t>
            </w:r>
          </w:p>
        </w:tc>
      </w:tr>
      <w:tr w:rsidR="00270C94" w:rsidRPr="00270C94" w:rsidTr="008E302F">
        <w:trPr>
          <w:trHeight w:val="54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lastRenderedPageBreak/>
              <w:t>4</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会计核算系统接口</w:t>
            </w:r>
          </w:p>
        </w:tc>
        <w:tc>
          <w:tcPr>
            <w:tcW w:w="647"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sz w:val="24"/>
                <w:szCs w:val="24"/>
              </w:rPr>
            </w:pPr>
            <w:r w:rsidRPr="00270C94">
              <w:rPr>
                <w:rFonts w:ascii="仿宋" w:eastAsia="仿宋" w:hAnsi="仿宋" w:cs="仿宋" w:hint="eastAsia"/>
                <w:sz w:val="24"/>
                <w:szCs w:val="24"/>
              </w:rPr>
              <w:t>并轨作业</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numPr>
                <w:ilvl w:val="0"/>
                <w:numId w:val="7"/>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支持导入现行会计科目体系；</w:t>
            </w:r>
          </w:p>
          <w:p w:rsidR="00270C94" w:rsidRPr="00270C94" w:rsidRDefault="00270C94" w:rsidP="00270C94">
            <w:pPr>
              <w:widowControl/>
              <w:numPr>
                <w:ilvl w:val="0"/>
                <w:numId w:val="7"/>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支持自定义收入项目与支出项目的日常会计分录；</w:t>
            </w:r>
          </w:p>
          <w:p w:rsidR="00270C94" w:rsidRPr="00270C94" w:rsidRDefault="00270C94" w:rsidP="00270C94">
            <w:pPr>
              <w:widowControl/>
              <w:numPr>
                <w:ilvl w:val="0"/>
                <w:numId w:val="7"/>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支持按采集、审核、浏览、分配等环节对原始收支进行分权管理；</w:t>
            </w:r>
          </w:p>
          <w:p w:rsidR="00270C94" w:rsidRPr="00270C94" w:rsidRDefault="00270C94" w:rsidP="00270C94">
            <w:pPr>
              <w:widowControl/>
              <w:numPr>
                <w:ilvl w:val="0"/>
                <w:numId w:val="7"/>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支持按会计核算要求，由成本核算的明细数据生成收入和支出记账凭证底稿；</w:t>
            </w:r>
          </w:p>
          <w:p w:rsidR="00270C94" w:rsidRPr="00270C94" w:rsidRDefault="00270C94" w:rsidP="00270C94">
            <w:pPr>
              <w:widowControl/>
              <w:numPr>
                <w:ilvl w:val="0"/>
                <w:numId w:val="7"/>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支持按现有财务软件要求导出规范的记账凭证格式，供财务软件导入。</w:t>
            </w:r>
          </w:p>
        </w:tc>
      </w:tr>
      <w:tr w:rsidR="00270C94" w:rsidRPr="00270C94" w:rsidTr="008E302F">
        <w:trPr>
          <w:trHeight w:val="560"/>
        </w:trPr>
        <w:tc>
          <w:tcPr>
            <w:tcW w:w="270" w:type="pct"/>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color w:val="000000"/>
                <w:sz w:val="24"/>
                <w:szCs w:val="24"/>
              </w:rPr>
              <w:t>5</w:t>
            </w:r>
          </w:p>
        </w:tc>
        <w:tc>
          <w:tcPr>
            <w:tcW w:w="850" w:type="pct"/>
            <w:tcBorders>
              <w:top w:val="single" w:sz="4" w:space="0" w:color="auto"/>
              <w:left w:val="single" w:sz="4" w:space="0" w:color="auto"/>
              <w:bottom w:val="single" w:sz="4" w:space="0" w:color="auto"/>
              <w:right w:val="single" w:sz="4" w:space="0" w:color="auto"/>
            </w:tcBorders>
            <w:vAlign w:val="center"/>
          </w:tcPr>
          <w:p w:rsidR="00270C94" w:rsidRPr="00270C94" w:rsidRDefault="00270C94" w:rsidP="00270C94">
            <w:pPr>
              <w:widowControl/>
              <w:jc w:val="left"/>
              <w:rPr>
                <w:rFonts w:ascii="仿宋" w:eastAsia="仿宋" w:hAnsi="仿宋" w:cs="仿宋"/>
                <w:color w:val="000000"/>
                <w:sz w:val="24"/>
                <w:szCs w:val="24"/>
              </w:rPr>
            </w:pPr>
            <w:r w:rsidRPr="00270C94">
              <w:rPr>
                <w:rFonts w:ascii="仿宋" w:eastAsia="仿宋" w:hAnsi="仿宋" w:cs="仿宋" w:hint="eastAsia"/>
                <w:sz w:val="24"/>
                <w:szCs w:val="24"/>
              </w:rPr>
              <w:t>医院信息系统接口</w:t>
            </w:r>
          </w:p>
        </w:tc>
        <w:tc>
          <w:tcPr>
            <w:tcW w:w="647"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jc w:val="center"/>
              <w:rPr>
                <w:rFonts w:ascii="仿宋" w:eastAsia="仿宋" w:hAnsi="仿宋" w:cs="仿宋"/>
                <w:color w:val="000000"/>
                <w:sz w:val="24"/>
                <w:szCs w:val="24"/>
              </w:rPr>
            </w:pPr>
            <w:r w:rsidRPr="00270C94">
              <w:rPr>
                <w:rFonts w:ascii="仿宋" w:eastAsia="仿宋" w:hAnsi="仿宋" w:cs="仿宋" w:hint="eastAsia"/>
                <w:sz w:val="24"/>
                <w:szCs w:val="24"/>
              </w:rPr>
              <w:t>核算采集接口</w:t>
            </w:r>
          </w:p>
        </w:tc>
        <w:tc>
          <w:tcPr>
            <w:tcW w:w="3231" w:type="pct"/>
            <w:tcBorders>
              <w:top w:val="nil"/>
              <w:left w:val="nil"/>
              <w:bottom w:val="single" w:sz="4" w:space="0" w:color="auto"/>
              <w:right w:val="single" w:sz="4" w:space="0" w:color="auto"/>
            </w:tcBorders>
            <w:shd w:val="clear" w:color="auto" w:fill="auto"/>
            <w:vAlign w:val="center"/>
          </w:tcPr>
          <w:p w:rsidR="00270C94" w:rsidRPr="00270C94" w:rsidRDefault="00270C94" w:rsidP="00270C94">
            <w:pPr>
              <w:widowControl/>
              <w:numPr>
                <w:ilvl w:val="0"/>
                <w:numId w:val="8"/>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可设置服务器端定时自动采集HIS供应商传送的HIS接口数据，亦可从客户端人工采集数据；</w:t>
            </w:r>
          </w:p>
          <w:p w:rsidR="00270C94" w:rsidRPr="00270C94" w:rsidRDefault="00270C94" w:rsidP="00270C94">
            <w:pPr>
              <w:widowControl/>
              <w:numPr>
                <w:ilvl w:val="0"/>
                <w:numId w:val="8"/>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可按日、按人、按病源、按收费项目采集HIS接口收入数据，确保“会计核算、成本核算、HIS统计”数据三者实时统一；</w:t>
            </w:r>
          </w:p>
          <w:p w:rsidR="00270C94" w:rsidRPr="00270C94" w:rsidRDefault="00270C94" w:rsidP="00270C94">
            <w:pPr>
              <w:widowControl/>
              <w:numPr>
                <w:ilvl w:val="0"/>
                <w:numId w:val="8"/>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可按日、按月、按成本项目采集HIS接口支出数据(包括药品和物料)，确保“会计核算、成本核算、HIS统计”数据三者实时统一；</w:t>
            </w:r>
          </w:p>
          <w:p w:rsidR="00270C94" w:rsidRPr="00270C94" w:rsidRDefault="00270C94" w:rsidP="00270C94">
            <w:pPr>
              <w:widowControl/>
              <w:numPr>
                <w:ilvl w:val="0"/>
                <w:numId w:val="8"/>
              </w:numPr>
              <w:adjustRightInd w:val="0"/>
              <w:snapToGrid w:val="0"/>
              <w:spacing w:after="200"/>
              <w:jc w:val="left"/>
              <w:rPr>
                <w:rFonts w:ascii="仿宋" w:eastAsia="仿宋" w:hAnsi="仿宋" w:cs="仿宋"/>
                <w:sz w:val="24"/>
                <w:szCs w:val="24"/>
              </w:rPr>
            </w:pPr>
            <w:r w:rsidRPr="00270C94">
              <w:rPr>
                <w:rFonts w:ascii="仿宋" w:eastAsia="仿宋" w:hAnsi="仿宋" w:cs="仿宋" w:hint="eastAsia"/>
                <w:sz w:val="24"/>
                <w:szCs w:val="24"/>
              </w:rPr>
              <w:t>可动态维护收入项目、责任个人、成本中心编码字典对照关系；</w:t>
            </w:r>
          </w:p>
        </w:tc>
      </w:tr>
    </w:tbl>
    <w:p w:rsidR="00270C94" w:rsidRPr="00270C94" w:rsidRDefault="00270C94" w:rsidP="00270C94">
      <w:pPr>
        <w:rPr>
          <w:rFonts w:ascii="宋体" w:hAnsi="宋体" w:cs="Times New Roman" w:hint="eastAsia"/>
          <w:b/>
          <w:sz w:val="32"/>
          <w:szCs w:val="32"/>
        </w:rPr>
      </w:pPr>
    </w:p>
    <w:sectPr w:rsidR="00270C94" w:rsidRPr="00270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9BD5B"/>
    <w:multiLevelType w:val="singleLevel"/>
    <w:tmpl w:val="9A29BD5B"/>
    <w:lvl w:ilvl="0">
      <w:start w:val="1"/>
      <w:numFmt w:val="decimal"/>
      <w:lvlText w:val="%1)"/>
      <w:lvlJc w:val="left"/>
      <w:pPr>
        <w:tabs>
          <w:tab w:val="left" w:pos="312"/>
        </w:tabs>
      </w:pPr>
    </w:lvl>
  </w:abstractNum>
  <w:abstractNum w:abstractNumId="1" w15:restartNumberingAfterBreak="0">
    <w:nsid w:val="DC51C733"/>
    <w:multiLevelType w:val="singleLevel"/>
    <w:tmpl w:val="DC51C733"/>
    <w:lvl w:ilvl="0">
      <w:start w:val="1"/>
      <w:numFmt w:val="decimal"/>
      <w:lvlText w:val="%1)"/>
      <w:lvlJc w:val="left"/>
      <w:pPr>
        <w:tabs>
          <w:tab w:val="left" w:pos="312"/>
        </w:tabs>
      </w:pPr>
    </w:lvl>
  </w:abstractNum>
  <w:abstractNum w:abstractNumId="2" w15:restartNumberingAfterBreak="0">
    <w:nsid w:val="F58A4397"/>
    <w:multiLevelType w:val="singleLevel"/>
    <w:tmpl w:val="F58A4397"/>
    <w:lvl w:ilvl="0">
      <w:start w:val="1"/>
      <w:numFmt w:val="decimal"/>
      <w:lvlText w:val="%1)"/>
      <w:lvlJc w:val="left"/>
      <w:pPr>
        <w:tabs>
          <w:tab w:val="left" w:pos="312"/>
        </w:tabs>
      </w:pPr>
    </w:lvl>
  </w:abstractNum>
  <w:abstractNum w:abstractNumId="3" w15:restartNumberingAfterBreak="0">
    <w:nsid w:val="08A742B0"/>
    <w:multiLevelType w:val="singleLevel"/>
    <w:tmpl w:val="08A742B0"/>
    <w:lvl w:ilvl="0">
      <w:start w:val="1"/>
      <w:numFmt w:val="decimal"/>
      <w:lvlText w:val="%1)"/>
      <w:lvlJc w:val="left"/>
      <w:pPr>
        <w:tabs>
          <w:tab w:val="left" w:pos="312"/>
        </w:tabs>
      </w:pPr>
    </w:lvl>
  </w:abstractNum>
  <w:abstractNum w:abstractNumId="4" w15:restartNumberingAfterBreak="0">
    <w:nsid w:val="2CBB49C3"/>
    <w:multiLevelType w:val="hybridMultilevel"/>
    <w:tmpl w:val="E7A6635C"/>
    <w:lvl w:ilvl="0" w:tplc="4260BF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0B0804"/>
    <w:multiLevelType w:val="singleLevel"/>
    <w:tmpl w:val="410B0804"/>
    <w:lvl w:ilvl="0">
      <w:start w:val="1"/>
      <w:numFmt w:val="decimal"/>
      <w:lvlText w:val="%1)"/>
      <w:lvlJc w:val="left"/>
      <w:pPr>
        <w:tabs>
          <w:tab w:val="left" w:pos="312"/>
        </w:tabs>
      </w:pPr>
    </w:lvl>
  </w:abstractNum>
  <w:abstractNum w:abstractNumId="6" w15:restartNumberingAfterBreak="0">
    <w:nsid w:val="56220BEA"/>
    <w:multiLevelType w:val="hybridMultilevel"/>
    <w:tmpl w:val="464C37D6"/>
    <w:lvl w:ilvl="0" w:tplc="3D4C21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8AB379"/>
    <w:multiLevelType w:val="singleLevel"/>
    <w:tmpl w:val="6B8AB379"/>
    <w:lvl w:ilvl="0">
      <w:start w:val="1"/>
      <w:numFmt w:val="decimal"/>
      <w:suff w:val="nothing"/>
      <w:lvlText w:val="%1）"/>
      <w:lvlJc w:val="left"/>
    </w:lvl>
  </w:abstractNum>
  <w:num w:numId="1">
    <w:abstractNumId w:val="6"/>
  </w:num>
  <w:num w:numId="2">
    <w:abstractNumId w:val="4"/>
  </w:num>
  <w:num w:numId="3">
    <w:abstractNumId w:val="7"/>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94"/>
    <w:rsid w:val="00270C94"/>
    <w:rsid w:val="0068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2825"/>
  <w15:chartTrackingRefBased/>
  <w15:docId w15:val="{2819B5B8-ECDB-4239-8DC2-32A448E8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C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2021-09-06T10:19:00Z</dcterms:created>
  <dcterms:modified xsi:type="dcterms:W3CDTF">2021-09-06T10:29:00Z</dcterms:modified>
</cp:coreProperties>
</file>