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760"/>
          <w:tab w:val="left" w:pos="6300"/>
        </w:tabs>
        <w:spacing w:line="360" w:lineRule="auto"/>
        <w:jc w:val="left"/>
        <w:textAlignment w:val="baseline"/>
        <w:rPr>
          <w:rFonts w:ascii="Times New Roman" w:hAnsi="Times New Roman" w:eastAsia="宋体"/>
          <w:sz w:val="44"/>
          <w:szCs w:val="44"/>
        </w:rPr>
      </w:pPr>
      <w:r>
        <w:rPr>
          <w:rFonts w:ascii="Times New Roman" w:hAnsi="Times New Roman" w:eastAsia="宋体"/>
          <w:sz w:val="44"/>
          <w:szCs w:val="44"/>
        </w:rPr>
        <w:tab/>
      </w:r>
    </w:p>
    <w:p>
      <w:pPr>
        <w:tabs>
          <w:tab w:val="left" w:pos="5760"/>
          <w:tab w:val="left" w:pos="6300"/>
        </w:tabs>
        <w:spacing w:line="360" w:lineRule="auto"/>
        <w:jc w:val="left"/>
        <w:textAlignment w:val="baseline"/>
        <w:rPr>
          <w:rFonts w:ascii="Times New Roman" w:hAnsi="Times New Roman" w:eastAsia="宋体"/>
          <w:sz w:val="44"/>
          <w:szCs w:val="44"/>
        </w:rPr>
      </w:pPr>
    </w:p>
    <w:p>
      <w:pPr>
        <w:spacing w:line="360" w:lineRule="auto"/>
        <w:jc w:val="center"/>
        <w:textAlignment w:val="baseline"/>
        <w:rPr>
          <w:rFonts w:ascii="Times New Roman" w:hAnsi="Times New Roman" w:eastAsia="宋体"/>
          <w:b/>
          <w:sz w:val="56"/>
          <w:szCs w:val="56"/>
        </w:rPr>
      </w:pPr>
      <w:r>
        <w:rPr>
          <w:rFonts w:hint="eastAsia" w:ascii="Times New Roman" w:hAnsi="Times New Roman" w:eastAsia="宋体"/>
          <w:b/>
          <w:sz w:val="52"/>
          <w:szCs w:val="56"/>
        </w:rPr>
        <w:t>南通市第三人民医院艾滋病精细化管理系统采购项目</w:t>
      </w: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56"/>
          <w:szCs w:val="56"/>
        </w:rPr>
      </w:pPr>
    </w:p>
    <w:p>
      <w:pPr>
        <w:spacing w:line="360" w:lineRule="auto"/>
        <w:jc w:val="center"/>
        <w:textAlignment w:val="baseline"/>
        <w:rPr>
          <w:rFonts w:ascii="Times New Roman" w:hAnsi="Times New Roman" w:eastAsia="宋体"/>
          <w:b/>
          <w:sz w:val="72"/>
          <w:szCs w:val="56"/>
        </w:rPr>
      </w:pPr>
    </w:p>
    <w:p>
      <w:pPr>
        <w:spacing w:line="360" w:lineRule="auto"/>
        <w:jc w:val="center"/>
        <w:textAlignment w:val="baseline"/>
        <w:rPr>
          <w:rFonts w:ascii="Times New Roman" w:hAnsi="Times New Roman" w:eastAsia="宋体"/>
          <w:b/>
          <w:sz w:val="72"/>
          <w:szCs w:val="56"/>
        </w:rPr>
      </w:pPr>
      <w:r>
        <w:rPr>
          <w:rFonts w:ascii="Times New Roman" w:hAnsi="Times New Roman" w:eastAsia="宋体"/>
          <w:b/>
          <w:sz w:val="72"/>
          <w:szCs w:val="56"/>
        </w:rPr>
        <w:t>竞争性磋商文件</w:t>
      </w:r>
    </w:p>
    <w:p>
      <w:pPr>
        <w:spacing w:line="360" w:lineRule="auto"/>
        <w:jc w:val="center"/>
        <w:textAlignment w:val="baseline"/>
        <w:rPr>
          <w:rFonts w:ascii="Times New Roman" w:hAnsi="Times New Roman" w:eastAsia="宋体"/>
          <w:b/>
          <w:sz w:val="44"/>
          <w:szCs w:val="44"/>
        </w:rPr>
      </w:pPr>
      <w:r>
        <w:rPr>
          <w:rFonts w:hint="eastAsia" w:ascii="Times New Roman" w:hAnsi="Times New Roman" w:eastAsia="宋体"/>
          <w:b/>
          <w:sz w:val="44"/>
          <w:szCs w:val="44"/>
        </w:rPr>
        <w:t>（资格后审）</w:t>
      </w: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b/>
          <w:sz w:val="36"/>
        </w:rPr>
      </w:pP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采购单位：南通市第三人民医院</w:t>
      </w: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代理机构：宏信天德工程顾问有限公司</w:t>
      </w:r>
    </w:p>
    <w:p>
      <w:pPr>
        <w:spacing w:line="360" w:lineRule="auto"/>
        <w:jc w:val="center"/>
        <w:textAlignment w:val="baseline"/>
        <w:rPr>
          <w:rFonts w:ascii="Times New Roman" w:hAnsi="Times New Roman" w:eastAsia="宋体" w:cs="宋体"/>
          <w:b/>
          <w:sz w:val="30"/>
          <w:szCs w:val="30"/>
        </w:rPr>
      </w:pPr>
    </w:p>
    <w:p>
      <w:pPr>
        <w:spacing w:line="360" w:lineRule="auto"/>
        <w:jc w:val="center"/>
        <w:textAlignment w:val="baseline"/>
        <w:rPr>
          <w:rFonts w:ascii="Times New Roman" w:hAnsi="Times New Roman" w:eastAsia="宋体" w:cs="宋体"/>
          <w:b/>
          <w:sz w:val="30"/>
          <w:szCs w:val="30"/>
        </w:rPr>
      </w:pPr>
      <w:r>
        <w:rPr>
          <w:rFonts w:hint="eastAsia" w:ascii="Times New Roman" w:hAnsi="Times New Roman" w:eastAsia="宋体" w:cs="宋体"/>
          <w:b/>
          <w:sz w:val="30"/>
          <w:szCs w:val="30"/>
        </w:rPr>
        <w:t>2022年06月29日</w:t>
      </w:r>
    </w:p>
    <w:p>
      <w:pPr>
        <w:adjustRightInd w:val="0"/>
        <w:snapToGrid w:val="0"/>
        <w:spacing w:line="360" w:lineRule="auto"/>
        <w:jc w:val="center"/>
        <w:rPr>
          <w:rFonts w:ascii="Times New Roman" w:hAnsi="Times New Roman" w:eastAsia="宋体"/>
          <w:b/>
          <w:sz w:val="30"/>
          <w:szCs w:val="30"/>
        </w:rPr>
      </w:pPr>
      <w:r>
        <w:rPr>
          <w:rFonts w:hint="eastAsia" w:ascii="Times New Roman" w:hAnsi="Times New Roman" w:eastAsia="宋体"/>
          <w:b/>
          <w:sz w:val="44"/>
          <w:szCs w:val="44"/>
        </w:rPr>
        <w:t>目  录</w:t>
      </w:r>
    </w:p>
    <w:p>
      <w:pPr>
        <w:pStyle w:val="6"/>
        <w:overflowPunct w:val="0"/>
        <w:ind w:firstLine="0"/>
        <w:jc w:val="center"/>
        <w:rPr>
          <w:rFonts w:ascii="Times New Roman" w:hAnsi="Times New Roman" w:eastAsia="宋体"/>
          <w:sz w:val="30"/>
        </w:rPr>
      </w:pP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b/>
          <w:bCs/>
          <w:sz w:val="36"/>
          <w:szCs w:val="36"/>
        </w:rPr>
        <w:fldChar w:fldCharType="begin"/>
      </w:r>
      <w:r>
        <w:rPr>
          <w:rFonts w:ascii="Times New Roman" w:hAnsi="Times New Roman" w:eastAsia="宋体"/>
          <w:b/>
          <w:bCs/>
          <w:sz w:val="36"/>
          <w:szCs w:val="36"/>
        </w:rPr>
        <w:instrText xml:space="preserve"> TOC \o "1-1" </w:instrText>
      </w:r>
      <w:r>
        <w:rPr>
          <w:rFonts w:ascii="Times New Roman" w:hAnsi="Times New Roman" w:eastAsia="宋体"/>
          <w:b/>
          <w:bCs/>
          <w:sz w:val="36"/>
          <w:szCs w:val="36"/>
        </w:rPr>
        <w:fldChar w:fldCharType="separate"/>
      </w:r>
      <w:r>
        <w:rPr>
          <w:rFonts w:ascii="Times New Roman" w:hAnsi="Times New Roman" w:eastAsia="宋体"/>
          <w:sz w:val="32"/>
          <w:szCs w:val="32"/>
        </w:rPr>
        <w:t xml:space="preserve">第一章 </w:t>
      </w:r>
      <w:r>
        <w:rPr>
          <w:rFonts w:hint="eastAsia" w:ascii="Times New Roman" w:hAnsi="Times New Roman" w:eastAsia="宋体"/>
          <w:sz w:val="32"/>
          <w:szCs w:val="32"/>
        </w:rPr>
        <w:t>竞争性磋商公告</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第二章 投标</w:t>
      </w:r>
      <w:r>
        <w:rPr>
          <w:rFonts w:hint="eastAsia" w:ascii="Times New Roman" w:hAnsi="Times New Roman" w:eastAsia="宋体"/>
          <w:sz w:val="32"/>
          <w:szCs w:val="32"/>
        </w:rPr>
        <w:t>供应商</w:t>
      </w:r>
      <w:r>
        <w:rPr>
          <w:rFonts w:ascii="Times New Roman" w:hAnsi="Times New Roman" w:eastAsia="宋体"/>
          <w:sz w:val="32"/>
          <w:szCs w:val="32"/>
        </w:rPr>
        <w:t>须知</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第三章 项目需求</w:t>
      </w:r>
    </w:p>
    <w:p>
      <w:pPr>
        <w:pStyle w:val="15"/>
        <w:tabs>
          <w:tab w:val="right" w:leader="dot" w:pos="9528"/>
        </w:tabs>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四</w:t>
      </w:r>
      <w:r>
        <w:rPr>
          <w:rFonts w:ascii="Times New Roman" w:hAnsi="Times New Roman" w:eastAsia="宋体"/>
          <w:sz w:val="32"/>
          <w:szCs w:val="32"/>
        </w:rPr>
        <w:t xml:space="preserve">章 </w:t>
      </w:r>
      <w:r>
        <w:rPr>
          <w:rFonts w:hint="eastAsia" w:ascii="Times New Roman" w:hAnsi="Times New Roman" w:eastAsia="宋体"/>
          <w:sz w:val="32"/>
          <w:szCs w:val="32"/>
        </w:rPr>
        <w:t>评审方法和程序</w:t>
      </w:r>
    </w:p>
    <w:p>
      <w:pPr>
        <w:pStyle w:val="15"/>
        <w:tabs>
          <w:tab w:val="right" w:leader="dot" w:pos="9528"/>
        </w:tabs>
        <w:spacing w:line="1200" w:lineRule="exact"/>
        <w:rPr>
          <w:rFonts w:ascii="Times New Roman" w:hAnsi="Times New Roman" w:eastAsia="宋体"/>
          <w:sz w:val="32"/>
          <w:szCs w:val="32"/>
        </w:rPr>
      </w:pPr>
      <w:r>
        <w:rPr>
          <w:rFonts w:hint="eastAsia" w:ascii="Times New Roman" w:hAnsi="Times New Roman" w:eastAsia="宋体"/>
          <w:sz w:val="32"/>
          <w:szCs w:val="32"/>
        </w:rPr>
        <w:t>第五章</w:t>
      </w:r>
      <w:r>
        <w:rPr>
          <w:rFonts w:ascii="Times New Roman" w:hAnsi="Times New Roman" w:eastAsia="宋体"/>
          <w:sz w:val="32"/>
          <w:szCs w:val="32"/>
        </w:rPr>
        <w:t xml:space="preserve"> </w:t>
      </w:r>
      <w:r>
        <w:rPr>
          <w:rFonts w:hint="eastAsia" w:ascii="Times New Roman" w:hAnsi="Times New Roman" w:eastAsia="宋体"/>
          <w:sz w:val="32"/>
          <w:szCs w:val="32"/>
        </w:rPr>
        <w:t>合同授予</w:t>
      </w:r>
    </w:p>
    <w:p>
      <w:pPr>
        <w:spacing w:line="1200" w:lineRule="exact"/>
        <w:rPr>
          <w:rFonts w:ascii="Times New Roman" w:hAnsi="Times New Roman" w:eastAsia="宋体"/>
          <w:sz w:val="32"/>
          <w:szCs w:val="32"/>
        </w:rPr>
      </w:pPr>
      <w:r>
        <w:rPr>
          <w:rFonts w:ascii="Times New Roman" w:hAnsi="Times New Roman" w:eastAsia="宋体"/>
          <w:sz w:val="32"/>
          <w:szCs w:val="32"/>
        </w:rPr>
        <w:t>第</w:t>
      </w:r>
      <w:r>
        <w:rPr>
          <w:rFonts w:hint="eastAsia" w:ascii="Times New Roman" w:hAnsi="Times New Roman" w:eastAsia="宋体"/>
          <w:sz w:val="32"/>
          <w:szCs w:val="32"/>
        </w:rPr>
        <w:t>六</w:t>
      </w:r>
      <w:r>
        <w:rPr>
          <w:rFonts w:ascii="Times New Roman" w:hAnsi="Times New Roman" w:eastAsia="宋体"/>
          <w:sz w:val="32"/>
          <w:szCs w:val="32"/>
        </w:rPr>
        <w:t>章</w:t>
      </w:r>
      <w:r>
        <w:rPr>
          <w:rFonts w:hint="eastAsia" w:ascii="Times New Roman" w:hAnsi="Times New Roman" w:eastAsia="宋体"/>
          <w:sz w:val="32"/>
          <w:szCs w:val="32"/>
        </w:rPr>
        <w:t xml:space="preserve"> 质疑提出和处理</w:t>
      </w:r>
    </w:p>
    <w:p>
      <w:pPr>
        <w:spacing w:line="1200" w:lineRule="exact"/>
        <w:rPr>
          <w:rFonts w:ascii="Times New Roman" w:hAnsi="Times New Roman" w:eastAsia="宋体"/>
          <w:sz w:val="36"/>
          <w:szCs w:val="36"/>
        </w:rPr>
      </w:pPr>
      <w:r>
        <w:rPr>
          <w:rFonts w:ascii="Times New Roman" w:hAnsi="Times New Roman" w:eastAsia="宋体"/>
          <w:sz w:val="32"/>
          <w:szCs w:val="32"/>
        </w:rPr>
        <w:t>第</w:t>
      </w:r>
      <w:r>
        <w:rPr>
          <w:rFonts w:hint="eastAsia" w:ascii="Times New Roman" w:hAnsi="Times New Roman" w:eastAsia="宋体"/>
          <w:sz w:val="32"/>
          <w:szCs w:val="32"/>
        </w:rPr>
        <w:t>七</w:t>
      </w:r>
      <w:r>
        <w:rPr>
          <w:rFonts w:ascii="Times New Roman" w:hAnsi="Times New Roman" w:eastAsia="宋体"/>
          <w:sz w:val="32"/>
          <w:szCs w:val="32"/>
        </w:rPr>
        <w:t>章</w:t>
      </w:r>
      <w:r>
        <w:rPr>
          <w:rFonts w:hint="eastAsia" w:ascii="Times New Roman" w:hAnsi="Times New Roman" w:eastAsia="宋体"/>
          <w:sz w:val="32"/>
          <w:szCs w:val="32"/>
        </w:rPr>
        <w:t xml:space="preserve"> 响应文件组成及格式</w:t>
      </w:r>
    </w:p>
    <w:p>
      <w:pPr>
        <w:widowControl/>
        <w:jc w:val="left"/>
        <w:rPr>
          <w:rFonts w:ascii="Times New Roman" w:hAnsi="Times New Roman" w:eastAsia="宋体"/>
          <w:b/>
          <w:bCs/>
          <w:sz w:val="36"/>
          <w:szCs w:val="36"/>
        </w:rPr>
      </w:pPr>
      <w:r>
        <w:rPr>
          <w:rFonts w:ascii="Times New Roman" w:hAnsi="Times New Roman" w:eastAsia="宋体"/>
          <w:b/>
          <w:bCs/>
          <w:sz w:val="36"/>
          <w:szCs w:val="36"/>
        </w:rPr>
        <w:fldChar w:fldCharType="end"/>
      </w:r>
    </w:p>
    <w:p>
      <w:pPr>
        <w:pStyle w:val="2"/>
        <w:rPr>
          <w:rFonts w:ascii="Times New Roman" w:hAnsi="Times New Roman" w:eastAsia="宋体"/>
        </w:rPr>
      </w:pPr>
      <w:r>
        <w:rPr>
          <w:rFonts w:ascii="Times New Roman" w:hAnsi="Times New Roman" w:eastAsia="宋体"/>
        </w:rPr>
        <w:br w:type="page"/>
      </w:r>
    </w:p>
    <w:p>
      <w:pPr>
        <w:spacing w:line="360" w:lineRule="auto"/>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尊敬的投标供应商：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第一章 竞争性磋商公告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南通市第三人民医院艾滋病精细化管理系统采购项目的潜在供应商应在南通市第三人民医院官网获取采购文件，并于</w:t>
      </w:r>
      <w:r>
        <w:rPr>
          <w:rFonts w:hint="eastAsia" w:ascii="Times New Roman" w:hAnsi="Times New Roman" w:eastAsia="宋体" w:cs="宋体"/>
          <w:sz w:val="24"/>
          <w:szCs w:val="24"/>
          <w:u w:val="single"/>
        </w:rPr>
        <w:t>2022</w:t>
      </w:r>
      <w:r>
        <w:rPr>
          <w:rFonts w:hint="eastAsia" w:ascii="Times New Roman" w:hAnsi="Times New Roman" w:eastAsia="宋体" w:cs="宋体"/>
          <w:bCs/>
          <w:sz w:val="24"/>
          <w:szCs w:val="24"/>
          <w:u w:val="single"/>
        </w:rPr>
        <w:t>年07月08日09时00分</w:t>
      </w:r>
      <w:r>
        <w:rPr>
          <w:rFonts w:hint="eastAsia" w:ascii="Times New Roman" w:hAnsi="Times New Roman" w:eastAsia="宋体" w:cs="宋体"/>
          <w:bCs/>
          <w:sz w:val="24"/>
          <w:szCs w:val="24"/>
        </w:rPr>
        <w:t>（北京时间）</w:t>
      </w:r>
      <w:r>
        <w:rPr>
          <w:rFonts w:hint="eastAsia" w:ascii="Times New Roman" w:hAnsi="Times New Roman" w:eastAsia="宋体" w:cs="Times New Roman"/>
          <w:sz w:val="24"/>
          <w:szCs w:val="24"/>
        </w:rPr>
        <w:t>前提交响应文件。</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一、项目基本情况</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1、项目编号：/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2、项目名称：南通市第三人民医院艾滋病精细化管理系统采购项目</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 xml:space="preserve">3、采购方式：□竞争性谈判 </w:t>
      </w:r>
      <w:r>
        <w:rPr>
          <w:rFonts w:hint="eastAsia" w:ascii="Times New Roman" w:hAnsi="Times New Roman" w:eastAsia="MS Mincho" w:cs="MS Mincho"/>
          <w:sz w:val="24"/>
          <w:szCs w:val="24"/>
        </w:rPr>
        <w:t>☑</w:t>
      </w:r>
      <w:r>
        <w:rPr>
          <w:rFonts w:hint="eastAsia" w:ascii="Times New Roman" w:hAnsi="Times New Roman" w:eastAsia="宋体" w:cs="宋体"/>
          <w:sz w:val="24"/>
          <w:szCs w:val="24"/>
        </w:rPr>
        <w:t>竞争性磋商 □询价</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4、预算金额：约18万元</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5、最高限价：18万元</w:t>
      </w:r>
      <w:r>
        <w:rPr>
          <w:rFonts w:hint="eastAsia" w:ascii="Times New Roman" w:hAnsi="Times New Roman" w:eastAsia="宋体" w:cs="仿宋"/>
          <w:bCs/>
          <w:sz w:val="24"/>
          <w:szCs w:val="20"/>
        </w:rPr>
        <w:t>，报价超过最高限价的为无效响应文件；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6、采购需求：南通市第三人民医院采购艾滋病精细化管理系统；具体内容详见竞争性磋商文件第三章项目需求。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7、合同履行期限：合同签订后30日历天内完成系统上线运行。</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8、本项目不接受联合体。</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二、申请人的资格要求</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1、符合《中华人民共和国政府采购法》第二十二条规定：</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（1）具有独立承担民事责任的能力；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（2）具有良好的商业信誉和健全的财务会计制度；</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（3）具有履行合同所必需的设备和专业技术能力；</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（4）有依法缴纳税收和社会保障资金的良好记录；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（5）参加政府采购活动前三年内，在经营活动中没有重大违法记录；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（6）法律、行政法规规定的其他条件。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2、落实政府采购政策需满足的资格要求：</w:t>
      </w:r>
      <w:r>
        <w:rPr>
          <w:rFonts w:hint="eastAsia" w:ascii="Times New Roman" w:hAnsi="Times New Roman" w:eastAsia="宋体" w:cs="宋体"/>
          <w:sz w:val="24"/>
          <w:szCs w:val="24"/>
          <w:u w:val="single"/>
        </w:rPr>
        <w:t>无</w:t>
      </w:r>
      <w:r>
        <w:rPr>
          <w:rFonts w:hint="eastAsia" w:ascii="Times New Roman" w:hAnsi="Times New Roman" w:eastAsia="宋体" w:cs="宋体"/>
          <w:sz w:val="24"/>
          <w:szCs w:val="24"/>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3、本项目的特定资格要求：</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（1）供应商须具有独立法人资格，具有有效的三证合一的营业执照，有能力按本招标文件规定的要求提供招标物及提供相关伴随服务。</w:t>
      </w:r>
    </w:p>
    <w:p>
      <w:pPr>
        <w:spacing w:line="360" w:lineRule="auto"/>
        <w:ind w:firstLine="480" w:firstLineChars="200"/>
        <w:rPr>
          <w:rFonts w:ascii="Times New Roman" w:hAnsi="Times New Roman" w:eastAsia="宋体"/>
          <w:color w:val="000000"/>
          <w:sz w:val="24"/>
          <w:szCs w:val="24"/>
        </w:rPr>
      </w:pPr>
      <w:r>
        <w:rPr>
          <w:rFonts w:hint="eastAsia" w:ascii="Times New Roman" w:hAnsi="Times New Roman" w:eastAsia="宋体"/>
          <w:color w:val="000000"/>
          <w:sz w:val="24"/>
          <w:szCs w:val="24"/>
        </w:rPr>
        <w:t>（2）法定代表人参加投标的，必须提供法定代表人身份证明及法定代表人本人身份证复印件；非法定代表人参加投标的，必须提供法定代表人签字或盖章的授权委托书、法定代表人本人身份证复印件及被授权人本人身份证复印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4、未被“信用中国”网站（www.creditchina.gov.cn）列入失信被执行人、重大税收违法案件当事人名单、政府采购严重失信行为记录名单；</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5、拒绝下述供应商参加本次采购活动：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（1）供应商单位负责人为同一人或者存在直接控股、管理关系的不同供应商，不得参加同一合同项下的政府采购活动。</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（2）凡为采购项目提供整体设计、规范编制或者项目管理、监理、检测等服务的供应商，不得再参加本项目的采购活动。</w:t>
      </w:r>
    </w:p>
    <w:p>
      <w:pPr>
        <w:spacing w:line="360" w:lineRule="auto"/>
        <w:ind w:firstLine="482" w:firstLineChars="200"/>
        <w:textAlignment w:val="baseline"/>
        <w:rPr>
          <w:rFonts w:ascii="Times New Roman" w:hAnsi="Times New Roman" w:eastAsia="宋体"/>
          <w:b/>
          <w:sz w:val="24"/>
          <w:szCs w:val="24"/>
          <w:lang w:val="zh-CN"/>
        </w:rPr>
      </w:pPr>
      <w:r>
        <w:rPr>
          <w:rFonts w:hint="eastAsia" w:ascii="Times New Roman" w:hAnsi="Times New Roman" w:eastAsia="宋体"/>
          <w:b/>
          <w:sz w:val="24"/>
          <w:szCs w:val="24"/>
          <w:lang w:val="zh-CN"/>
        </w:rPr>
        <w:t>具体资格要求详见第</w:t>
      </w:r>
      <w:r>
        <w:rPr>
          <w:rFonts w:hint="eastAsia" w:ascii="Times New Roman" w:hAnsi="Times New Roman" w:eastAsia="宋体"/>
          <w:b/>
          <w:sz w:val="24"/>
          <w:szCs w:val="24"/>
        </w:rPr>
        <w:t>七</w:t>
      </w:r>
      <w:r>
        <w:rPr>
          <w:rFonts w:hint="eastAsia" w:ascii="Times New Roman" w:hAnsi="Times New Roman" w:eastAsia="宋体"/>
          <w:b/>
          <w:sz w:val="24"/>
          <w:szCs w:val="24"/>
          <w:lang w:val="zh-CN"/>
        </w:rPr>
        <w:t>章中的“资格审查文件”。</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0" w:name="_Toc35393792"/>
      <w:bookmarkStart w:id="1" w:name="_Toc35393623"/>
      <w:r>
        <w:rPr>
          <w:rFonts w:hint="eastAsia" w:ascii="Times New Roman" w:hAnsi="Times New Roman" w:eastAsia="宋体" w:cs="宋体"/>
          <w:b/>
          <w:kern w:val="0"/>
          <w:sz w:val="24"/>
          <w:szCs w:val="24"/>
        </w:rPr>
        <w:t>三、获取采购文件</w:t>
      </w:r>
      <w:bookmarkEnd w:id="0"/>
      <w:bookmarkEnd w:id="1"/>
      <w:r>
        <w:rPr>
          <w:rFonts w:hint="eastAsia" w:ascii="Times New Roman" w:hAnsi="Times New Roman" w:eastAsia="宋体" w:cs="宋体"/>
          <w:b/>
          <w:kern w:val="0"/>
          <w:sz w:val="24"/>
          <w:szCs w:val="24"/>
        </w:rPr>
        <w:t>及投标报名</w:t>
      </w:r>
    </w:p>
    <w:p>
      <w:pPr>
        <w:spacing w:line="360" w:lineRule="auto"/>
        <w:ind w:firstLine="480" w:firstLineChars="200"/>
        <w:rPr>
          <w:rFonts w:ascii="Times New Roman" w:hAnsi="Times New Roman" w:eastAsia="宋体" w:cs="宋体"/>
          <w:sz w:val="24"/>
          <w:szCs w:val="24"/>
        </w:rPr>
      </w:pPr>
      <w:bookmarkStart w:id="2" w:name="_Toc28359082"/>
      <w:bookmarkStart w:id="3" w:name="_Toc35393793"/>
      <w:bookmarkStart w:id="4" w:name="_Toc35393624"/>
      <w:bookmarkStart w:id="5" w:name="_Toc28359005"/>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自本磋商公告发布之日起至2022年07月08日09时00分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2、方式：在南通市第三人民医院官网（http://www.ntdsyy.com/）自行下载采购文件。</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3、售价：300元/份，随磋商响应文件递交，售后不退。</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4、报名方式：请有意参与本项目投标的供应商于2022年07月07日18时00分前至代理机构处报名，未报名单位不得参加本项目的投标。</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四、</w:t>
      </w:r>
      <w:bookmarkEnd w:id="2"/>
      <w:bookmarkEnd w:id="3"/>
      <w:bookmarkEnd w:id="4"/>
      <w:bookmarkEnd w:id="5"/>
      <w:r>
        <w:rPr>
          <w:rFonts w:hint="eastAsia" w:ascii="Times New Roman" w:hAnsi="Times New Roman" w:eastAsia="宋体" w:cs="宋体"/>
          <w:b/>
          <w:kern w:val="0"/>
          <w:sz w:val="24"/>
          <w:szCs w:val="24"/>
        </w:rPr>
        <w:t>响应文件提交</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1、提交响应文件截止时间：</w:t>
      </w:r>
      <w:r>
        <w:rPr>
          <w:rFonts w:hint="eastAsia" w:ascii="Times New Roman" w:hAnsi="Times New Roman" w:eastAsia="宋体" w:cs="宋体"/>
          <w:sz w:val="24"/>
          <w:szCs w:val="24"/>
          <w:u w:val="single"/>
        </w:rPr>
        <w:t>2022年07月08日09时00分</w:t>
      </w:r>
      <w:r>
        <w:rPr>
          <w:rFonts w:hint="eastAsia" w:ascii="Times New Roman" w:hAnsi="Times New Roman" w:eastAsia="宋体" w:cs="宋体"/>
          <w:sz w:val="24"/>
          <w:szCs w:val="24"/>
        </w:rPr>
        <w:t>（北京时间）。</w:t>
      </w:r>
      <w:r>
        <w:rPr>
          <w:rFonts w:hint="eastAsia" w:ascii="Times New Roman" w:hAnsi="Times New Roman" w:eastAsia="宋体"/>
          <w:sz w:val="24"/>
        </w:rPr>
        <w:t>逾时，采购人将拒绝接受响应文件纸质文档。</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2、提交响应文件地点：</w:t>
      </w:r>
      <w:r>
        <w:rPr>
          <w:rFonts w:hint="eastAsia" w:ascii="Times New Roman" w:hAnsi="Times New Roman" w:eastAsia="宋体" w:cs="宋体"/>
          <w:sz w:val="24"/>
          <w:szCs w:val="24"/>
          <w:u w:val="single"/>
        </w:rPr>
        <w:t>南通市第三人民医院</w:t>
      </w:r>
      <w:r>
        <w:rPr>
          <w:rFonts w:hint="eastAsia"/>
          <w:sz w:val="24"/>
          <w:szCs w:val="24"/>
          <w:u w:val="single"/>
        </w:rPr>
        <w:t>5</w:t>
      </w:r>
      <w:r>
        <w:rPr>
          <w:rFonts w:hint="eastAsia" w:ascii="Times New Roman" w:hAnsi="Times New Roman" w:eastAsia="宋体" w:cs="宋体"/>
          <w:sz w:val="24"/>
          <w:szCs w:val="24"/>
          <w:u w:val="single"/>
        </w:rPr>
        <w:t>号楼5楼会议室</w:t>
      </w:r>
      <w:r>
        <w:rPr>
          <w:rFonts w:hint="eastAsia" w:ascii="Times New Roman" w:hAnsi="Times New Roman" w:eastAsia="宋体" w:cs="宋体"/>
          <w:sz w:val="24"/>
          <w:szCs w:val="24"/>
        </w:rPr>
        <w:t>，如有变动另行通知。</w:t>
      </w:r>
    </w:p>
    <w:p>
      <w:pPr>
        <w:keepNext/>
        <w:keepLines/>
        <w:spacing w:line="360" w:lineRule="auto"/>
        <w:ind w:firstLine="482" w:firstLineChars="200"/>
        <w:textAlignment w:val="baseline"/>
        <w:rPr>
          <w:rFonts w:ascii="Times New Roman" w:hAnsi="Times New Roman" w:eastAsia="宋体" w:cs="宋体"/>
          <w:b/>
          <w:kern w:val="0"/>
          <w:sz w:val="24"/>
          <w:szCs w:val="24"/>
        </w:rPr>
      </w:pPr>
      <w:bookmarkStart w:id="6" w:name="_Toc35393625"/>
      <w:bookmarkStart w:id="7" w:name="_Toc35393794"/>
      <w:bookmarkStart w:id="8" w:name="_Toc28359084"/>
      <w:bookmarkStart w:id="9" w:name="_Toc28359007"/>
      <w:r>
        <w:rPr>
          <w:rFonts w:hint="eastAsia" w:ascii="Times New Roman" w:hAnsi="Times New Roman" w:eastAsia="宋体" w:cs="宋体"/>
          <w:b/>
          <w:kern w:val="0"/>
          <w:sz w:val="24"/>
          <w:szCs w:val="24"/>
        </w:rPr>
        <w:t>五、开启</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1、时间：</w:t>
      </w:r>
      <w:r>
        <w:rPr>
          <w:rFonts w:hint="eastAsia" w:ascii="Times New Roman" w:hAnsi="Times New Roman" w:eastAsia="宋体" w:cs="宋体"/>
          <w:sz w:val="24"/>
          <w:szCs w:val="24"/>
          <w:u w:val="single"/>
        </w:rPr>
        <w:t>2022年07月08日09时00分</w:t>
      </w:r>
      <w:r>
        <w:rPr>
          <w:rFonts w:hint="eastAsia" w:ascii="Times New Roman" w:hAnsi="Times New Roman" w:eastAsia="宋体" w:cs="宋体"/>
          <w:sz w:val="24"/>
          <w:szCs w:val="24"/>
        </w:rPr>
        <w:t>（北京时间）。</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2、地点：</w:t>
      </w:r>
      <w:r>
        <w:rPr>
          <w:rFonts w:hint="eastAsia" w:ascii="Times New Roman" w:hAnsi="Times New Roman" w:eastAsia="宋体" w:cs="宋体"/>
          <w:sz w:val="24"/>
          <w:szCs w:val="24"/>
          <w:u w:val="single"/>
        </w:rPr>
        <w:t>南通市第三人民医院5号楼5楼会议室</w:t>
      </w:r>
      <w:r>
        <w:rPr>
          <w:rFonts w:hint="eastAsia" w:ascii="Times New Roman" w:hAnsi="Times New Roman" w:eastAsia="宋体" w:cs="宋体"/>
          <w:sz w:val="24"/>
          <w:szCs w:val="24"/>
        </w:rPr>
        <w:t>。</w:t>
      </w:r>
    </w:p>
    <w:p>
      <w:pPr>
        <w:keepNext/>
        <w:keepLines/>
        <w:spacing w:line="360" w:lineRule="auto"/>
        <w:ind w:firstLine="482" w:firstLineChars="200"/>
        <w:textAlignment w:val="baseline"/>
        <w:rPr>
          <w:rFonts w:ascii="Times New Roman" w:hAnsi="Times New Roman" w:eastAsia="宋体" w:cs="宋体"/>
          <w:b/>
          <w:kern w:val="0"/>
          <w:sz w:val="24"/>
          <w:szCs w:val="24"/>
        </w:rPr>
      </w:pPr>
      <w:r>
        <w:rPr>
          <w:rFonts w:hint="eastAsia" w:ascii="Times New Roman" w:hAnsi="Times New Roman" w:eastAsia="宋体" w:cs="宋体"/>
          <w:b/>
          <w:kern w:val="0"/>
          <w:sz w:val="24"/>
          <w:szCs w:val="24"/>
        </w:rPr>
        <w:t>六、公告期限</w:t>
      </w:r>
      <w:bookmarkEnd w:id="6"/>
      <w:bookmarkEnd w:id="7"/>
      <w:bookmarkEnd w:id="8"/>
      <w:bookmarkEnd w:id="9"/>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kern w:val="0"/>
          <w:sz w:val="24"/>
          <w:szCs w:val="24"/>
        </w:rPr>
        <w:t>自本公告发布之日起</w:t>
      </w:r>
      <w:r>
        <w:rPr>
          <w:rFonts w:hint="eastAsia" w:ascii="Times New Roman" w:hAnsi="Times New Roman" w:eastAsia="宋体" w:cs="宋体"/>
          <w:kern w:val="0"/>
          <w:sz w:val="24"/>
          <w:szCs w:val="24"/>
          <w:lang w:val="en-US" w:eastAsia="zh-CN"/>
        </w:rPr>
        <w:t>5</w:t>
      </w:r>
      <w:r>
        <w:rPr>
          <w:rFonts w:hint="eastAsia" w:ascii="Times New Roman" w:hAnsi="Times New Roman" w:eastAsia="宋体" w:cs="宋体"/>
          <w:kern w:val="0"/>
          <w:sz w:val="24"/>
          <w:szCs w:val="24"/>
        </w:rPr>
        <w:t>个工作日。</w:t>
      </w:r>
    </w:p>
    <w:p>
      <w:pPr>
        <w:spacing w:line="360" w:lineRule="auto"/>
        <w:ind w:firstLine="482" w:firstLineChars="200"/>
        <w:textAlignment w:val="baseline"/>
        <w:rPr>
          <w:rFonts w:ascii="Times New Roman" w:hAnsi="Times New Roman" w:eastAsia="宋体" w:cs="宋体"/>
          <w:bCs/>
          <w:sz w:val="24"/>
          <w:szCs w:val="24"/>
        </w:rPr>
      </w:pPr>
      <w:r>
        <w:rPr>
          <w:rFonts w:hint="eastAsia" w:ascii="Times New Roman" w:hAnsi="Times New Roman" w:eastAsia="宋体" w:cs="宋体"/>
          <w:b/>
          <w:bCs/>
          <w:sz w:val="24"/>
          <w:szCs w:val="24"/>
        </w:rPr>
        <w:t>七、</w:t>
      </w:r>
      <w:r>
        <w:rPr>
          <w:rFonts w:hint="eastAsia" w:ascii="Times New Roman" w:hAnsi="Times New Roman" w:eastAsia="宋体" w:cs="宋体"/>
          <w:b/>
          <w:sz w:val="24"/>
          <w:szCs w:val="24"/>
        </w:rPr>
        <w:t>其他补充事宜</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1、本项目不收取磋商保证金，采购文件中涉及磋商保证金的事项，均按免收保证金执行。</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2、对项目需求部分（供应商其他资格要求、项目需求、评分标准）的询问、质疑请向采购人提出，由采购人负责答复；对</w:t>
      </w:r>
      <w:r>
        <w:rPr>
          <w:rFonts w:hint="eastAsia" w:ascii="Times New Roman" w:hAnsi="Times New Roman" w:eastAsia="宋体"/>
          <w:sz w:val="24"/>
          <w:szCs w:val="24"/>
        </w:rPr>
        <w:t>项目磋商文件</w:t>
      </w:r>
      <w:r>
        <w:rPr>
          <w:rFonts w:hint="eastAsia" w:ascii="Times New Roman" w:hAnsi="Times New Roman" w:eastAsia="宋体" w:cs="宋体"/>
          <w:sz w:val="24"/>
          <w:szCs w:val="24"/>
        </w:rPr>
        <w:t>其它部分的询问请向采购人或招标代理提出。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4、针对疫情防控期间，投标人须知事项：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各投标单位只允许委派一人参加投标，其余人员一律不得入内。疫情期间，参加投标的授权委托人应出具绿色的行程码和健康码，其中来自中高风险地区或健康码为黄码或红码的，投标文件不予以接收。如有隐瞒事实或弄虚作假者将根据法律法规追究相关责任。授权委托人须全程佩戴口罩，并配合防疫检查。对未佩戴口罩或体温异常或不配合防疫检查或未按规定提供相关证明材料者，一律禁止进入开标现场，且不得参加本项目的开标，后果自负。</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cs="宋体"/>
          <w:b/>
          <w:sz w:val="24"/>
          <w:szCs w:val="24"/>
        </w:rPr>
        <w:t>八、凡对本次采购提出询问，请按以下方式联系</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1、采购人信息</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名称：南通市第三人民医院</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地址：江苏省南通市青年中路60号</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 xml:space="preserve">联系人：钱老师  </w:t>
      </w:r>
    </w:p>
    <w:p>
      <w:pPr>
        <w:spacing w:line="360" w:lineRule="auto"/>
        <w:ind w:firstLine="480" w:firstLineChars="200"/>
        <w:rPr>
          <w:rFonts w:hint="default" w:ascii="Times New Roman" w:hAnsi="Times New Roman" w:eastAsia="宋体" w:cs="宋体"/>
          <w:bCs/>
          <w:sz w:val="24"/>
          <w:lang w:val="en-US" w:eastAsia="zh-CN"/>
        </w:rPr>
      </w:pPr>
      <w:r>
        <w:rPr>
          <w:rFonts w:hint="eastAsia" w:ascii="Times New Roman" w:hAnsi="Times New Roman" w:eastAsia="宋体" w:cs="宋体"/>
          <w:bCs/>
          <w:sz w:val="24"/>
        </w:rPr>
        <w:t>联系电话：</w:t>
      </w:r>
      <w:r>
        <w:rPr>
          <w:rFonts w:hint="eastAsia" w:ascii="Times New Roman" w:hAnsi="Times New Roman" w:eastAsia="宋体" w:cs="宋体"/>
          <w:bCs/>
          <w:sz w:val="24"/>
          <w:lang w:val="en-US" w:eastAsia="zh-CN"/>
        </w:rPr>
        <w:t>0513-85116168</w:t>
      </w:r>
      <w:bookmarkStart w:id="16" w:name="_GoBack"/>
      <w:bookmarkEnd w:id="16"/>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2、采购代理机构信息</w:t>
      </w:r>
    </w:p>
    <w:p>
      <w:pPr>
        <w:spacing w:line="360" w:lineRule="auto"/>
        <w:ind w:firstLine="480" w:firstLineChars="200"/>
        <w:rPr>
          <w:rFonts w:ascii="Times New Roman" w:hAnsi="Times New Roman" w:eastAsia="宋体" w:cs="宋体"/>
          <w:bCs/>
          <w:sz w:val="24"/>
        </w:rPr>
      </w:pPr>
      <w:r>
        <w:rPr>
          <w:rFonts w:hint="eastAsia" w:ascii="Times New Roman" w:hAnsi="Times New Roman" w:eastAsia="宋体" w:cs="宋体"/>
          <w:bCs/>
          <w:sz w:val="24"/>
        </w:rPr>
        <w:t>名称：宏信天德工程顾问有限公司</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地址：南通市崇川区江海大道488号金贸国际25楼</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联系人：董安国</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sz w:val="24"/>
          <w:szCs w:val="24"/>
        </w:rPr>
        <w:t>联系电话：</w:t>
      </w:r>
      <w:r>
        <w:rPr>
          <w:rFonts w:hint="eastAsia" w:ascii="Times New Roman" w:hAnsi="Times New Roman" w:eastAsia="宋体" w:cs="宋体"/>
          <w:kern w:val="0"/>
          <w:sz w:val="24"/>
        </w:rPr>
        <w:t>18912299056</w:t>
      </w:r>
    </w:p>
    <w:p>
      <w:pPr>
        <w:spacing w:line="360" w:lineRule="auto"/>
        <w:ind w:firstLine="480" w:firstLineChars="200"/>
        <w:rPr>
          <w:rFonts w:ascii="Times New Roman" w:hAnsi="Times New Roman" w:eastAsia="宋体" w:cs="宋体"/>
          <w:kern w:val="0"/>
          <w:sz w:val="24"/>
        </w:rPr>
      </w:pPr>
      <w:r>
        <w:rPr>
          <w:rFonts w:hint="eastAsia" w:ascii="Times New Roman" w:hAnsi="Times New Roman" w:eastAsia="宋体" w:cs="宋体"/>
          <w:kern w:val="0"/>
          <w:sz w:val="24"/>
        </w:rPr>
        <w:t>邮箱：812298892@qq.com</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3、项目联系方式</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项目联系人：董安国</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电　话：</w:t>
      </w:r>
      <w:r>
        <w:rPr>
          <w:rFonts w:hint="eastAsia" w:ascii="Times New Roman" w:hAnsi="Times New Roman" w:eastAsia="宋体" w:cs="宋体"/>
          <w:kern w:val="0"/>
          <w:sz w:val="24"/>
        </w:rPr>
        <w:t>18912299056</w:t>
      </w:r>
    </w:p>
    <w:p>
      <w:pPr>
        <w:pStyle w:val="2"/>
        <w:rPr>
          <w:rFonts w:ascii="Times New Roman" w:hAnsi="Times New Roman" w:eastAsia="宋体"/>
        </w:rPr>
      </w:pPr>
    </w:p>
    <w:p>
      <w:pPr>
        <w:widowControl/>
        <w:jc w:val="left"/>
        <w:rPr>
          <w:rFonts w:ascii="Times New Roman" w:hAnsi="Times New Roman" w:eastAsia="宋体" w:cs="Times New Roman"/>
          <w:b/>
          <w:w w:val="80"/>
          <w:kern w:val="44"/>
          <w:sz w:val="48"/>
          <w:szCs w:val="44"/>
        </w:rPr>
      </w:pPr>
      <w:r>
        <w:rPr>
          <w:rFonts w:ascii="Times New Roman" w:hAnsi="Times New Roman" w:eastAsia="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w w:val="80"/>
          <w:sz w:val="48"/>
          <w:szCs w:val="44"/>
        </w:rPr>
      </w:pPr>
      <w:r>
        <w:rPr>
          <w:rFonts w:hint="eastAsia" w:ascii="Times New Roman" w:hAnsi="Times New Roman" w:eastAsia="宋体"/>
          <w:w w:val="80"/>
          <w:sz w:val="48"/>
          <w:szCs w:val="44"/>
        </w:rPr>
        <w:t>第二章 投标供应商须知</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一、说明</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1、本竞争性磋商文件仅适用于采购人组织的竞争性磋商采购活动。</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2、竞争性磋商活动及因本次磋商产生的合同受中国法律制约和保护。</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3、竞争性磋商文件的解释权属于采购人。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下载磋商文件后，应仔细检查磋商文件的所有内容。如内容中有页码短缺、资格要求以及任何设置有不合理的条件对供应商实行差别待遇或者歧视待遇的，应在磋商文件发布后的4日内，以书面形式向代理机构提出询问或疑问，</w:t>
      </w:r>
      <w:r>
        <w:rPr>
          <w:rFonts w:hint="eastAsia" w:ascii="Times New Roman" w:hAnsi="Times New Roman" w:eastAsia="宋体" w:cs="宋体"/>
          <w:sz w:val="24"/>
          <w:szCs w:val="24"/>
          <w:u w:val="double"/>
        </w:rPr>
        <w:t>未在规定的时间内提出询问或疑问的，视同理解并接受本磋商文件的所有内容，因此引起的损失由供应商自负，而且供应商不得在磋商结束后针对磋商文件的所有内容提出质疑事项</w:t>
      </w:r>
      <w:r>
        <w:rPr>
          <w:rFonts w:hint="eastAsia" w:ascii="Times New Roman" w:hAnsi="Times New Roman" w:eastAsia="宋体" w:cs="宋体"/>
          <w:sz w:val="24"/>
          <w:szCs w:val="24"/>
        </w:rPr>
        <w:t>。</w:t>
      </w:r>
      <w:r>
        <w:rPr>
          <w:rFonts w:hint="eastAsia" w:ascii="Times New Roman" w:hAnsi="Times New Roman" w:eastAsia="宋体" w:cs="宋体"/>
          <w:b/>
          <w:sz w:val="24"/>
          <w:szCs w:val="24"/>
        </w:rPr>
        <w:t>非书面形式的不作为日后质疑提出的依据。</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5、供应商应认真审阅磋商文件中所有的事项、格式、条款和规范要求等，如果供应商没有按照磋商文件要求提交响应文件，或者响应文件没有对磋商文件做出实质性响应，将被拒绝参与项目的磋商。</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二、本项目涉及到的现场勘察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1、根据自身需要，供应商可在响应文件递交之日前对有关现场和周围环境进行勘察，以获取编制响应文件和签署合同所需的信息。勘察现场所发生的费用由供应商自己承担。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2、采购人向供应商提供的有关现场的资料和数据，是采购人现有的并认为能使供应商可利用的资料。采购人对供应商由此而做出的推论、理解和结论概不负责。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3、经采购人允许，供应商可为勘察目的进入采购人的项目现场，但供应商不得因此使采购人承担有关的责任和蒙受损失。供应商应承担勘察现场的责任和风险。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应认真踏勘现场。在现场勘察时，熟悉现场及周围交通道路等情况，以获得一切可能影响其投标的直接资料。供应商磋商成交后，不得以不完全了解现场情况为理由而向采购人提出任何索赔的要求，对此采购人不承担任何责任并将不作任何答复与考虑。</w:t>
      </w:r>
    </w:p>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三、磋商文件的澄清、修改、答疑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1、代理机构有权对发出的磋商文件进行必要的澄清、修改或补充。</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2、磋商文件的澄清、修改、补充等内容均以书面明确的形式发布，并以南通市第三人民医院官网发布的信息为准。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3、代理机构对磋商文件的澄清、修改将构成磋商文件的一部分，对响应磋商的供应商具有约束力。</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4、澄清或者修改的内容可能影响到响应文件编制的，代理机构应当在提交响应文件接收截止之日5个工作日前，发布澄清或者修改公告，不足5个工作日的，当顺延提交响应文件接收截止时间。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5、除非代理机构以书面的形式对磋商文件作出澄清、修改及补充，供应商对涉及磋商文件的任何推论、理解和结论所造成的结果，均由供应商自负。</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6、采购单位视情组织答疑会。如有产生答疑且对磋商文件内容有修改，代理机构将按照本须知有关规定，以补充通知（公告）的方式发出。</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四、响应文件的编制及装订</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按磋商文件要求编写响应文件，并牢固装订成册。响应文件均需采用A4纸（图纸等除外），不允许使用活页夹、拉杆夹、文件夹、塑料方便式书脊（插入式或穿孔式）装订。响应文件不得行间插字、涂改、增删，如修改错漏处，须经响应文件签署人签字并加盖公章。</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五、响应文件的份数和签署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1、响应文件由：</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资格审查文件、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技术响应文件、③报价响应文件共3部分组成（以下由文件序号代称）。</w:t>
      </w:r>
    </w:p>
    <w:p>
      <w:pPr>
        <w:spacing w:line="360" w:lineRule="auto"/>
        <w:ind w:firstLine="480" w:firstLineChars="200"/>
        <w:textAlignment w:val="baseline"/>
        <w:rPr>
          <w:rFonts w:ascii="Times New Roman" w:hAnsi="Times New Roman" w:eastAsia="宋体" w:cs="宋体"/>
          <w:b/>
          <w:sz w:val="24"/>
          <w:szCs w:val="24"/>
          <w:u w:val="single"/>
        </w:rPr>
      </w:pPr>
      <w:r>
        <w:rPr>
          <w:rFonts w:hint="eastAsia" w:ascii="Times New Roman" w:hAnsi="Times New Roman" w:eastAsia="宋体" w:cs="宋体"/>
          <w:sz w:val="24"/>
          <w:szCs w:val="24"/>
        </w:rPr>
        <w:t>2、</w:t>
      </w:r>
      <w:r>
        <w:rPr>
          <w:rFonts w:hint="eastAsia" w:ascii="Times New Roman" w:hAnsi="Times New Roman" w:eastAsia="宋体" w:cs="宋体"/>
          <w:b/>
          <w:sz w:val="24"/>
          <w:szCs w:val="24"/>
        </w:rPr>
        <w:t>响应文件均为一式肆份，其中“正本”壹份和“副本”叁份。</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3、在每份响应文件上要明确标注项目名称、对应的响应文件名称、供应商的全称、日期、“正本”、“副本”字样。“正本”和“副本”若有差异，概以“正本”为准。</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4、供应商可将响应文件正副本统一密封或分别密封，如正本和副本分别密封的，应在封袋上标明正、副本字样。</w:t>
      </w:r>
    </w:p>
    <w:p>
      <w:pPr>
        <w:spacing w:line="360" w:lineRule="auto"/>
        <w:ind w:firstLine="470" w:firstLineChars="196"/>
        <w:textAlignment w:val="baseline"/>
        <w:rPr>
          <w:rFonts w:ascii="Times New Roman" w:hAnsi="Times New Roman" w:eastAsia="宋体" w:cs="宋体"/>
          <w:sz w:val="24"/>
          <w:szCs w:val="24"/>
        </w:rPr>
      </w:pPr>
      <w:r>
        <w:rPr>
          <w:rFonts w:hint="eastAsia" w:ascii="Times New Roman" w:hAnsi="Times New Roman" w:eastAsia="宋体" w:cs="宋体"/>
          <w:sz w:val="24"/>
          <w:szCs w:val="24"/>
        </w:rPr>
        <w:t>5、响应文件中的所有“正本”，其正文内容须按磋商文件要求由供应商法定代表人或被授权人签字（或盖章）并加盖单位公章。“副本”可复印，但须加盖单位公章。</w:t>
      </w:r>
    </w:p>
    <w:p>
      <w:pPr>
        <w:spacing w:line="360" w:lineRule="auto"/>
        <w:ind w:firstLine="472" w:firstLineChars="19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六、响应文件的密封及标记</w:t>
      </w:r>
    </w:p>
    <w:p>
      <w:pPr>
        <w:spacing w:line="360" w:lineRule="auto"/>
        <w:ind w:firstLine="480" w:firstLineChars="200"/>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1、供应商须将本项目响应文件：</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w:t>
      </w:r>
      <w:r>
        <w:rPr>
          <w:rFonts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3 \* GB3</w:instrText>
      </w:r>
      <w:r>
        <w:rPr>
          <w:rFonts w:ascii="Times New Roman" w:hAnsi="Times New Roman" w:eastAsia="宋体" w:cs="宋体"/>
          <w:sz w:val="20"/>
          <w:szCs w:val="24"/>
        </w:rPr>
        <w:fldChar w:fldCharType="separate"/>
      </w:r>
      <w:r>
        <w:rPr>
          <w:rFonts w:hint="eastAsia" w:ascii="Times New Roman" w:hAnsi="Times New Roman" w:eastAsia="宋体" w:cs="宋体"/>
          <w:sz w:val="24"/>
          <w:szCs w:val="24"/>
        </w:rPr>
        <w:t>③</w:t>
      </w:r>
      <w:r>
        <w:rPr>
          <w:rFonts w:ascii="Times New Roman" w:hAnsi="Times New Roman" w:eastAsia="宋体" w:cs="宋体"/>
          <w:sz w:val="20"/>
          <w:szCs w:val="24"/>
        </w:rPr>
        <w:fldChar w:fldCharType="end"/>
      </w:r>
      <w:r>
        <w:rPr>
          <w:rFonts w:hint="eastAsia" w:ascii="Times New Roman" w:hAnsi="Times New Roman" w:eastAsia="宋体" w:cs="宋体"/>
          <w:b/>
          <w:sz w:val="24"/>
          <w:szCs w:val="24"/>
        </w:rPr>
        <w:t>单独密封</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2、密封后，应在每一份密封的响应文件上明确标注磋商项目名称、响应文件各自对应的名称、供应商的全称及日期并加盖供应商公章。</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【特别提醒】</w:t>
      </w:r>
      <w:r>
        <w:rPr>
          <w:rFonts w:hint="eastAsia" w:ascii="Times New Roman" w:hAnsi="Times New Roman" w:eastAsia="宋体" w:cs="宋体"/>
          <w:sz w:val="24"/>
          <w:szCs w:val="24"/>
        </w:rPr>
        <w:t>响应文件中的</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1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①</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和</w:t>
      </w:r>
      <w:r>
        <w:rPr>
          <w:rFonts w:hint="eastAsia" w:ascii="Times New Roman" w:hAnsi="Times New Roman" w:eastAsia="宋体" w:cs="宋体"/>
          <w:sz w:val="20"/>
          <w:szCs w:val="24"/>
        </w:rPr>
        <w:fldChar w:fldCharType="begin"/>
      </w:r>
      <w:r>
        <w:rPr>
          <w:rFonts w:hint="eastAsia" w:ascii="Times New Roman" w:hAnsi="Times New Roman" w:eastAsia="宋体" w:cs="宋体"/>
          <w:sz w:val="20"/>
          <w:szCs w:val="24"/>
        </w:rPr>
        <w:instrText xml:space="preserve"> = 2 \* GB3 </w:instrText>
      </w:r>
      <w:r>
        <w:rPr>
          <w:rFonts w:hint="eastAsia" w:ascii="Times New Roman" w:hAnsi="Times New Roman" w:eastAsia="宋体" w:cs="宋体"/>
          <w:sz w:val="20"/>
          <w:szCs w:val="24"/>
        </w:rPr>
        <w:fldChar w:fldCharType="separate"/>
      </w:r>
      <w:r>
        <w:rPr>
          <w:rFonts w:hint="eastAsia" w:ascii="Times New Roman" w:hAnsi="Times New Roman" w:eastAsia="宋体" w:cs="宋体"/>
          <w:sz w:val="24"/>
          <w:szCs w:val="24"/>
        </w:rPr>
        <w:t>②</w:t>
      </w:r>
      <w:r>
        <w:rPr>
          <w:rFonts w:hint="eastAsia" w:ascii="Times New Roman" w:hAnsi="Times New Roman" w:eastAsia="宋体" w:cs="宋体"/>
          <w:sz w:val="20"/>
          <w:szCs w:val="24"/>
        </w:rPr>
        <w:fldChar w:fldCharType="end"/>
      </w:r>
      <w:r>
        <w:rPr>
          <w:rFonts w:hint="eastAsia" w:ascii="Times New Roman" w:hAnsi="Times New Roman" w:eastAsia="宋体" w:cs="宋体"/>
          <w:sz w:val="24"/>
          <w:szCs w:val="24"/>
        </w:rPr>
        <w:t>的“正本”或“副本”中，均不得含有报价响应文件中报价表（报价单）内的任何项目价格，否则作无效投标处理。</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七、磋商报价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color w:val="000000"/>
          <w:sz w:val="24"/>
        </w:rPr>
        <w:t>报价供应商应对所要采购的全部内容进行报价，一个标的只允许一个报价，只报其中部分内容的或出现选择性报价，将被视为无效报价</w:t>
      </w:r>
      <w:r>
        <w:rPr>
          <w:rFonts w:hint="eastAsia" w:ascii="Times New Roman" w:hAnsi="Times New Roman" w:eastAsia="宋体" w:cs="宋体"/>
          <w:sz w:val="24"/>
          <w:szCs w:val="24"/>
        </w:rPr>
        <w:t>。</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2、磋商报价均以人民币为报价的币种。</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4、本项目报价为固定价格报价，投标人应充分考虑服务实施期间各类市场价格和政策性价格调整因素，确定价格风险计入总报价，今后不作调整。（投标报价应包括完成本项目所需的一切费用，不限于采购货物或产品的材料费、安装调试、运输到指定地点的装运费用（含装卸力资）、相关安装辅助材料费、成品保护费、竣工测试费、验收费、检测费、培训费、售后服务计划及购买、代理服务费、税金、政策性文件规定及合同包含的所有风险、责任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中标人自行承担。同时，报价也应包含合同履行过程中可能发生的一切风险。）</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6、</w:t>
      </w:r>
      <w:r>
        <w:rPr>
          <w:rFonts w:hint="eastAsia" w:ascii="Times New Roman" w:hAnsi="Times New Roman" w:eastAsia="宋体" w:cs="宋体"/>
          <w:sz w:val="24"/>
        </w:rPr>
        <w:t>除非在磋商中磋商小组对采购单位需求内容作了调整增加，或对采购内容作了实质性变更，否则</w:t>
      </w:r>
      <w:r>
        <w:rPr>
          <w:rFonts w:hint="eastAsia" w:ascii="Times New Roman" w:hAnsi="Times New Roman" w:eastAsia="宋体" w:cs="宋体"/>
          <w:b/>
          <w:sz w:val="24"/>
        </w:rPr>
        <w:t>采购单位不接受供应商高于自己前一轮的磋商报价。</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7、竞争性磋商的最终报价为成交价。同时，供应商的最终成交价在合同实施期间不因市场变化因素而变动。</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8、</w:t>
      </w:r>
      <w:r>
        <w:rPr>
          <w:rFonts w:hint="eastAsia" w:ascii="Times New Roman" w:hAnsi="Times New Roman" w:eastAsia="宋体" w:cs="宋体"/>
          <w:color w:val="000000"/>
          <w:sz w:val="24"/>
        </w:rPr>
        <w:t>最终报价将作为磋商小组评定成交供应商的依据</w:t>
      </w:r>
      <w:r>
        <w:rPr>
          <w:rFonts w:hint="eastAsia" w:ascii="Times New Roman" w:hAnsi="Times New Roman" w:eastAsia="宋体" w:cs="宋体"/>
          <w:sz w:val="24"/>
          <w:szCs w:val="24"/>
        </w:rPr>
        <w:t>。</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八、联合体参与磋商</w:t>
      </w:r>
    </w:p>
    <w:p>
      <w:pPr>
        <w:spacing w:line="360" w:lineRule="auto"/>
        <w:ind w:firstLine="484" w:firstLineChars="202"/>
        <w:textAlignment w:val="baseline"/>
        <w:rPr>
          <w:rFonts w:ascii="Times New Roman" w:hAnsi="Times New Roman" w:eastAsia="宋体" w:cs="宋体"/>
          <w:sz w:val="24"/>
          <w:szCs w:val="24"/>
        </w:rPr>
      </w:pPr>
      <w:r>
        <w:rPr>
          <w:rFonts w:hint="eastAsia" w:ascii="Times New Roman" w:hAnsi="Times New Roman" w:eastAsia="宋体" w:cs="宋体"/>
          <w:sz w:val="24"/>
          <w:szCs w:val="24"/>
        </w:rPr>
        <w:t>不接受任何形式的联合体参与本项目的竞争性磋商。</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bCs/>
          <w:sz w:val="24"/>
          <w:szCs w:val="24"/>
        </w:rPr>
        <w:t>九、响应文件及</w:t>
      </w:r>
      <w:r>
        <w:rPr>
          <w:rFonts w:hint="eastAsia" w:ascii="Times New Roman" w:hAnsi="Times New Roman" w:eastAsia="宋体" w:cs="宋体"/>
          <w:b/>
          <w:kern w:val="0"/>
          <w:sz w:val="24"/>
          <w:szCs w:val="24"/>
        </w:rPr>
        <w:t>磋商</w:t>
      </w:r>
      <w:r>
        <w:rPr>
          <w:rFonts w:hint="eastAsia" w:ascii="Times New Roman" w:hAnsi="Times New Roman" w:eastAsia="宋体" w:cs="宋体"/>
          <w:b/>
          <w:bCs/>
          <w:sz w:val="24"/>
          <w:szCs w:val="24"/>
        </w:rPr>
        <w:t>费用</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1、磋商文件每套售价300元（现金），在递交磋商响应文件的同时提交给招标代理机构。</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2、本次招标向成交供应商收取代理服务费，按国家计委颁发的[2002]1980号文《招标代理服务收费管理暂行办法》及国家发改委颁发的[2011]534号文《国家发改委关于降低部分建设项目收费标准规范收费行为等有关问题的通知》的有关规定执行，具体如下：中标服务费按差额定率累进法计算，以成交通知书确定的中标金额作为收费的计算依据，按招标收费标准下浮40%计算，不满1500元的，按1500元收取。</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3、磋商程序顺利进行后，除供应商的原件可退回外，其余所有的响应文件都将作为档案保存，不论成交与否，代理机构均不退回。</w:t>
      </w:r>
    </w:p>
    <w:p>
      <w:pPr>
        <w:spacing w:line="360" w:lineRule="auto"/>
        <w:ind w:firstLine="460" w:firstLineChars="192"/>
        <w:textAlignment w:val="baseline"/>
        <w:rPr>
          <w:rFonts w:ascii="Times New Roman" w:hAnsi="Times New Roman" w:eastAsia="宋体" w:cs="宋体"/>
          <w:sz w:val="24"/>
          <w:szCs w:val="24"/>
        </w:rPr>
      </w:pPr>
      <w:r>
        <w:rPr>
          <w:rFonts w:hint="eastAsia" w:ascii="Times New Roman" w:hAnsi="Times New Roman" w:eastAsia="宋体" w:cs="宋体"/>
          <w:sz w:val="24"/>
          <w:szCs w:val="24"/>
        </w:rPr>
        <w:t>4、无论磋商过程和结果如何，参加项目磋商的供应商自行承担与本次项目磋商有关的全部费用。</w:t>
      </w:r>
    </w:p>
    <w:p>
      <w:pPr>
        <w:spacing w:line="360" w:lineRule="auto"/>
        <w:ind w:firstLine="496" w:firstLineChars="206"/>
        <w:textAlignment w:val="baseline"/>
        <w:rPr>
          <w:rFonts w:ascii="Times New Roman" w:hAnsi="Times New Roman" w:eastAsia="宋体" w:cs="宋体"/>
          <w:b/>
          <w:bCs/>
          <w:sz w:val="24"/>
          <w:szCs w:val="24"/>
        </w:rPr>
      </w:pPr>
      <w:r>
        <w:rPr>
          <w:rFonts w:hint="eastAsia" w:ascii="Times New Roman" w:hAnsi="Times New Roman" w:eastAsia="宋体" w:cs="宋体"/>
          <w:b/>
          <w:sz w:val="24"/>
          <w:szCs w:val="24"/>
        </w:rPr>
        <w:t>十、</w:t>
      </w:r>
      <w:r>
        <w:rPr>
          <w:rFonts w:hint="eastAsia" w:ascii="Times New Roman" w:hAnsi="Times New Roman" w:eastAsia="宋体" w:cs="宋体"/>
          <w:b/>
          <w:bCs/>
          <w:sz w:val="24"/>
          <w:szCs w:val="24"/>
        </w:rPr>
        <w:t>磋商响应文件的有效期</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1、从磋商响应文件接收截止之日算起，45个“日历天”内响应文件应保持有效。有效期短于这个规定期限的磋商，将被拒绝。</w:t>
      </w:r>
    </w:p>
    <w:p>
      <w:pPr>
        <w:spacing w:line="360" w:lineRule="auto"/>
        <w:ind w:firstLine="494" w:firstLineChars="206"/>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在特殊情况下，采购代理机构可与响应供应商协商延长响应文件的有效期。这种要求和答复都应以书面的形式进行。同意延长有效期的磋商响应供应商不能修改磋商响应文件，按本竞争性磋商文件规定的磋商保证金的有效期也相应延长。拒绝接受延期要求的磋商响应供应商的响应文件书将被拒绝，但磋商保证金可退还。</w:t>
      </w:r>
    </w:p>
    <w:p>
      <w:pPr>
        <w:spacing w:line="360" w:lineRule="auto"/>
        <w:ind w:firstLine="482" w:firstLineChars="200"/>
        <w:rPr>
          <w:rFonts w:ascii="Times New Roman" w:hAnsi="Times New Roman" w:eastAsia="宋体" w:cs="宋体"/>
          <w:b/>
          <w:sz w:val="24"/>
          <w:szCs w:val="24"/>
        </w:rPr>
      </w:pPr>
      <w:r>
        <w:rPr>
          <w:rFonts w:hint="eastAsia" w:ascii="Times New Roman" w:hAnsi="Times New Roman" w:eastAsia="宋体" w:cs="宋体"/>
          <w:b/>
          <w:sz w:val="24"/>
          <w:szCs w:val="24"/>
        </w:rPr>
        <w:t>十一、未尽事宜</w:t>
      </w:r>
    </w:p>
    <w:p>
      <w:pPr>
        <w:spacing w:line="360" w:lineRule="auto"/>
        <w:ind w:firstLine="494" w:firstLineChars="206"/>
        <w:textAlignment w:val="baseline"/>
        <w:rPr>
          <w:rFonts w:ascii="Times New Roman" w:hAnsi="Times New Roman" w:eastAsia="宋体" w:cs="宋体"/>
          <w:sz w:val="24"/>
          <w:szCs w:val="24"/>
        </w:rPr>
      </w:pPr>
      <w:r>
        <w:rPr>
          <w:rFonts w:hint="eastAsia" w:ascii="Times New Roman" w:hAnsi="Times New Roman" w:eastAsia="宋体" w:cs="宋体"/>
          <w:sz w:val="24"/>
          <w:szCs w:val="24"/>
        </w:rPr>
        <w:t>无。</w:t>
      </w:r>
    </w:p>
    <w:p>
      <w:pPr>
        <w:widowControl/>
        <w:jc w:val="left"/>
        <w:rPr>
          <w:rFonts w:ascii="Times New Roman" w:hAnsi="Times New Roman" w:eastAsia="宋体" w:cs="宋体"/>
          <w:b/>
          <w:w w:val="80"/>
          <w:kern w:val="44"/>
          <w:sz w:val="44"/>
          <w:szCs w:val="44"/>
        </w:rPr>
      </w:pPr>
    </w:p>
    <w:p>
      <w:pPr>
        <w:widowControl/>
        <w:jc w:val="left"/>
        <w:rPr>
          <w:rFonts w:ascii="Times New Roman" w:hAnsi="Times New Roman" w:eastAsia="宋体" w:cs="宋体"/>
          <w:b/>
          <w:w w:val="80"/>
          <w:kern w:val="44"/>
          <w:sz w:val="48"/>
          <w:szCs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第三章 项目需求</w:t>
      </w:r>
    </w:p>
    <w:p>
      <w:pPr>
        <w:spacing w:line="360" w:lineRule="auto"/>
        <w:ind w:firstLine="482" w:firstLineChars="200"/>
        <w:rPr>
          <w:rFonts w:ascii="Times New Roman" w:hAnsi="Times New Roman" w:eastAsia="宋体" w:cs="Times New Roman"/>
          <w:kern w:val="0"/>
          <w:sz w:val="24"/>
          <w:szCs w:val="24"/>
        </w:rPr>
      </w:pPr>
      <w:r>
        <w:rPr>
          <w:rFonts w:ascii="Times New Roman" w:hAnsi="Times New Roman" w:eastAsia="宋体" w:cs="Times New Roman"/>
          <w:b/>
          <w:kern w:val="0"/>
          <w:sz w:val="24"/>
          <w:szCs w:val="24"/>
          <w:lang w:val="zh-CN"/>
        </w:rPr>
        <w:t>请投标人在网上报名前和制作投标文件时仔细研究项目需求说明。</w:t>
      </w:r>
      <w:r>
        <w:rPr>
          <w:rFonts w:ascii="Times New Roman" w:hAnsi="Times New Roman" w:eastAsia="宋体" w:cs="Times New Roman"/>
          <w:kern w:val="0"/>
          <w:sz w:val="24"/>
          <w:szCs w:val="24"/>
          <w:lang w:val="zh-CN"/>
        </w:rPr>
        <w:t>投标人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投标人提供的货物和服务同采购人提出的项目需求说明中的技术、商务要求不同的，必须在</w:t>
      </w:r>
      <w:r>
        <w:rPr>
          <w:rFonts w:hint="eastAsia" w:ascii="Times New Roman" w:hAnsi="Times New Roman" w:eastAsia="宋体" w:cs="Times New Roman"/>
          <w:kern w:val="0"/>
          <w:sz w:val="24"/>
          <w:szCs w:val="24"/>
          <w:lang w:val="zh-CN"/>
        </w:rPr>
        <w:t>《技术商务条款响应正负偏离表》</w:t>
      </w:r>
      <w:r>
        <w:rPr>
          <w:rFonts w:ascii="Times New Roman" w:hAnsi="Times New Roman" w:eastAsia="宋体" w:cs="Times New Roman"/>
          <w:kern w:val="0"/>
          <w:sz w:val="24"/>
          <w:szCs w:val="24"/>
        </w:rPr>
        <w:t>上明示，如不明示的视同完全响应</w:t>
      </w:r>
      <w:r>
        <w:rPr>
          <w:rFonts w:ascii="Times New Roman" w:hAnsi="Times New Roman" w:eastAsia="宋体" w:cs="Times New Roman"/>
          <w:kern w:val="0"/>
          <w:sz w:val="24"/>
          <w:szCs w:val="24"/>
          <w:lang w:val="zh-CN"/>
        </w:rPr>
        <w:t>。</w:t>
      </w:r>
    </w:p>
    <w:p>
      <w:pPr>
        <w:spacing w:line="360" w:lineRule="auto"/>
        <w:ind w:firstLine="482" w:firstLineChars="200"/>
        <w:rPr>
          <w:rFonts w:ascii="Times New Roman" w:hAnsi="Times New Roman" w:eastAsia="宋体" w:cs="Times New Roman"/>
          <w:b/>
          <w:bCs/>
          <w:kern w:val="0"/>
          <w:sz w:val="24"/>
          <w:szCs w:val="24"/>
          <w:lang w:val="zh-CN"/>
        </w:rPr>
      </w:pPr>
      <w:r>
        <w:rPr>
          <w:rFonts w:hint="eastAsia" w:ascii="Times New Roman" w:hAnsi="Times New Roman" w:eastAsia="宋体" w:cs="Times New Roman"/>
          <w:b/>
          <w:bCs/>
          <w:kern w:val="0"/>
          <w:sz w:val="24"/>
          <w:szCs w:val="24"/>
          <w:lang w:val="zh-CN"/>
        </w:rPr>
        <w:t>一、项目采购内容</w:t>
      </w:r>
    </w:p>
    <w:tbl>
      <w:tblPr>
        <w:tblStyle w:val="18"/>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5"/>
        <w:gridCol w:w="3005"/>
        <w:gridCol w:w="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05"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spacing w:line="360" w:lineRule="auto"/>
              <w:jc w:val="center"/>
              <w:rPr>
                <w:rFonts w:ascii="宋体" w:hAnsi="宋体" w:eastAsia="宋体" w:cs="宋体"/>
                <w:b/>
                <w:bCs/>
                <w:sz w:val="24"/>
                <w:szCs w:val="24"/>
                <w:u w:color="000000"/>
              </w:rPr>
            </w:pPr>
            <w:r>
              <w:rPr>
                <w:rFonts w:hint="eastAsia" w:ascii="宋体" w:hAnsi="宋体" w:eastAsia="宋体" w:cs="宋体"/>
                <w:b/>
                <w:bCs/>
                <w:sz w:val="24"/>
                <w:szCs w:val="24"/>
              </w:rPr>
              <w:t>序号</w:t>
            </w:r>
          </w:p>
        </w:tc>
        <w:tc>
          <w:tcPr>
            <w:tcW w:w="3005"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spacing w:line="360" w:lineRule="auto"/>
              <w:jc w:val="center"/>
              <w:rPr>
                <w:rFonts w:ascii="宋体" w:hAnsi="宋体" w:eastAsia="宋体" w:cs="宋体"/>
                <w:b/>
                <w:bCs/>
                <w:sz w:val="24"/>
                <w:szCs w:val="24"/>
                <w:u w:color="000000"/>
              </w:rPr>
            </w:pPr>
            <w:r>
              <w:rPr>
                <w:rFonts w:hint="eastAsia" w:ascii="宋体" w:hAnsi="宋体" w:eastAsia="宋体" w:cs="宋体"/>
                <w:b/>
                <w:bCs/>
                <w:sz w:val="24"/>
                <w:szCs w:val="24"/>
              </w:rPr>
              <w:t>项目名称</w:t>
            </w:r>
          </w:p>
        </w:tc>
        <w:tc>
          <w:tcPr>
            <w:tcW w:w="3005" w:type="dxa"/>
            <w:tcBorders>
              <w:top w:val="single" w:color="auto" w:sz="4" w:space="0"/>
              <w:left w:val="single" w:color="auto" w:sz="4" w:space="0"/>
              <w:bottom w:val="single" w:color="auto" w:sz="4" w:space="0"/>
              <w:right w:val="single" w:color="auto" w:sz="4" w:space="0"/>
            </w:tcBorders>
            <w:shd w:val="pct10" w:color="auto" w:fill="auto"/>
            <w:vAlign w:val="center"/>
          </w:tcPr>
          <w:p>
            <w:pPr>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spacing w:line="360" w:lineRule="auto"/>
              <w:jc w:val="center"/>
              <w:rPr>
                <w:rFonts w:ascii="宋体" w:hAnsi="宋体" w:eastAsia="宋体" w:cs="宋体"/>
                <w:b/>
                <w:bCs/>
                <w:sz w:val="24"/>
                <w:szCs w:val="24"/>
                <w:u w:color="000000"/>
              </w:rPr>
            </w:pPr>
            <w:r>
              <w:rPr>
                <w:rFonts w:hint="eastAsia" w:ascii="宋体" w:hAnsi="宋体" w:eastAsia="宋体" w:cs="宋体"/>
                <w:b/>
                <w:bCs/>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005" w:type="dxa"/>
            <w:tcBorders>
              <w:top w:val="single" w:color="auto" w:sz="4" w:space="0"/>
              <w:left w:val="single" w:color="auto" w:sz="4" w:space="0"/>
              <w:bottom w:val="single" w:color="auto" w:sz="4" w:space="0"/>
              <w:right w:val="single" w:color="auto" w:sz="4" w:space="0"/>
            </w:tcBorders>
            <w:vAlign w:val="center"/>
          </w:tcPr>
          <w:p>
            <w:pPr>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spacing w:line="360" w:lineRule="auto"/>
              <w:jc w:val="center"/>
              <w:rPr>
                <w:rFonts w:ascii="宋体" w:hAnsi="宋体" w:eastAsia="宋体" w:cs="宋体"/>
                <w:bCs/>
                <w:sz w:val="24"/>
                <w:szCs w:val="24"/>
                <w:u w:color="000000"/>
              </w:rPr>
            </w:pPr>
            <w:r>
              <w:rPr>
                <w:rFonts w:hint="eastAsia" w:ascii="宋体" w:hAnsi="宋体" w:eastAsia="宋体" w:cs="宋体"/>
                <w:bCs/>
                <w:sz w:val="24"/>
                <w:szCs w:val="24"/>
              </w:rPr>
              <w:t>1</w:t>
            </w:r>
          </w:p>
        </w:tc>
        <w:tc>
          <w:tcPr>
            <w:tcW w:w="3005" w:type="dxa"/>
            <w:tcBorders>
              <w:top w:val="single" w:color="auto" w:sz="4" w:space="0"/>
              <w:left w:val="single" w:color="auto" w:sz="4" w:space="0"/>
              <w:bottom w:val="single" w:color="auto" w:sz="4" w:space="0"/>
              <w:right w:val="single" w:color="auto" w:sz="4" w:space="0"/>
            </w:tcBorders>
            <w:vAlign w:val="center"/>
          </w:tcPr>
          <w:p>
            <w:pPr>
              <w:widowControl/>
              <w:tabs>
                <w:tab w:val="left" w:pos="420"/>
                <w:tab w:val="left" w:pos="840"/>
                <w:tab w:val="left" w:pos="1260"/>
                <w:tab w:val="left" w:pos="1619"/>
                <w:tab w:val="left" w:pos="1680"/>
                <w:tab w:val="left" w:pos="2100"/>
                <w:tab w:val="left" w:pos="2520"/>
                <w:tab w:val="left" w:pos="2940"/>
                <w:tab w:val="left" w:pos="3360"/>
                <w:tab w:val="left" w:pos="3780"/>
                <w:tab w:val="left" w:pos="4200"/>
                <w:tab w:val="left" w:pos="4620"/>
                <w:tab w:val="left" w:pos="5040"/>
                <w:tab w:val="left" w:pos="5460"/>
              </w:tabs>
              <w:spacing w:line="360" w:lineRule="auto"/>
              <w:jc w:val="center"/>
              <w:rPr>
                <w:rFonts w:ascii="宋体" w:hAnsi="宋体" w:eastAsia="宋体" w:cs="宋体"/>
                <w:kern w:val="0"/>
                <w:sz w:val="24"/>
                <w:szCs w:val="24"/>
                <w:u w:color="000000"/>
              </w:rPr>
            </w:pPr>
            <w:r>
              <w:rPr>
                <w:rFonts w:hint="eastAsia" w:ascii="宋体" w:hAnsi="宋体" w:eastAsia="宋体" w:cs="宋体"/>
                <w:kern w:val="0"/>
                <w:sz w:val="24"/>
                <w:szCs w:val="24"/>
                <w:u w:color="000000"/>
              </w:rPr>
              <w:t>艾滋病精细化管理系统</w:t>
            </w:r>
          </w:p>
        </w:tc>
        <w:tc>
          <w:tcPr>
            <w:tcW w:w="30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Calibri"/>
                <w:bCs/>
                <w:color w:val="000000"/>
                <w:sz w:val="24"/>
                <w:szCs w:val="24"/>
                <w:u w:color="000000"/>
              </w:rPr>
            </w:pPr>
            <w:r>
              <w:rPr>
                <w:rFonts w:hint="eastAsia" w:ascii="宋体" w:hAnsi="宋体" w:eastAsia="宋体" w:cs="Calibri"/>
                <w:bCs/>
                <w:color w:val="000000"/>
                <w:sz w:val="24"/>
                <w:szCs w:val="24"/>
                <w:u w:color="000000"/>
              </w:rPr>
              <w:t>1套</w:t>
            </w:r>
          </w:p>
        </w:tc>
      </w:tr>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二、采购内容技术要求</w:t>
      </w:r>
    </w:p>
    <w:tbl>
      <w:tblPr>
        <w:tblStyle w:val="1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2268"/>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846" w:type="dxa"/>
            <w:vAlign w:val="center"/>
          </w:tcPr>
          <w:p>
            <w:pPr>
              <w:spacing w:line="360" w:lineRule="auto"/>
              <w:jc w:val="center"/>
              <w:textAlignment w:val="center"/>
              <w:rPr>
                <w:rFonts w:ascii="宋体" w:hAnsi="宋体" w:eastAsia="宋体" w:cs="等线"/>
                <w:b/>
                <w:kern w:val="0"/>
                <w:sz w:val="24"/>
                <w:szCs w:val="24"/>
              </w:rPr>
            </w:pPr>
            <w:r>
              <w:rPr>
                <w:rFonts w:hint="eastAsia" w:ascii="宋体" w:hAnsi="宋体" w:eastAsia="宋体" w:cs="等线"/>
                <w:b/>
                <w:kern w:val="0"/>
                <w:sz w:val="24"/>
                <w:szCs w:val="24"/>
              </w:rPr>
              <w:t>序号</w:t>
            </w:r>
          </w:p>
        </w:tc>
        <w:tc>
          <w:tcPr>
            <w:tcW w:w="1417" w:type="dxa"/>
            <w:vAlign w:val="center"/>
          </w:tcPr>
          <w:p>
            <w:pPr>
              <w:spacing w:line="360" w:lineRule="auto"/>
              <w:jc w:val="center"/>
              <w:textAlignment w:val="center"/>
              <w:rPr>
                <w:rFonts w:ascii="宋体" w:hAnsi="宋体" w:eastAsia="宋体" w:cs="等线"/>
                <w:b/>
                <w:kern w:val="0"/>
                <w:sz w:val="24"/>
                <w:szCs w:val="24"/>
              </w:rPr>
            </w:pPr>
            <w:r>
              <w:rPr>
                <w:rFonts w:hint="eastAsia" w:ascii="宋体" w:hAnsi="宋体" w:eastAsia="宋体" w:cs="等线"/>
                <w:b/>
                <w:kern w:val="0"/>
                <w:sz w:val="24"/>
                <w:szCs w:val="24"/>
              </w:rPr>
              <w:t>功能模块</w:t>
            </w:r>
          </w:p>
        </w:tc>
        <w:tc>
          <w:tcPr>
            <w:tcW w:w="2268" w:type="dxa"/>
            <w:vAlign w:val="center"/>
          </w:tcPr>
          <w:p>
            <w:pPr>
              <w:spacing w:line="360" w:lineRule="auto"/>
              <w:jc w:val="center"/>
              <w:textAlignment w:val="center"/>
              <w:rPr>
                <w:rFonts w:ascii="宋体" w:hAnsi="宋体" w:eastAsia="宋体" w:cs="Times New Roman"/>
                <w:b/>
                <w:kern w:val="0"/>
                <w:sz w:val="24"/>
                <w:szCs w:val="24"/>
              </w:rPr>
            </w:pPr>
            <w:r>
              <w:rPr>
                <w:rFonts w:hint="eastAsia" w:ascii="宋体" w:hAnsi="宋体" w:eastAsia="宋体" w:cs="等线"/>
                <w:b/>
                <w:kern w:val="0"/>
                <w:sz w:val="24"/>
                <w:szCs w:val="24"/>
              </w:rPr>
              <w:t>子模块</w:t>
            </w:r>
          </w:p>
        </w:tc>
        <w:tc>
          <w:tcPr>
            <w:tcW w:w="4536" w:type="dxa"/>
            <w:vAlign w:val="center"/>
          </w:tcPr>
          <w:p>
            <w:pPr>
              <w:spacing w:line="360" w:lineRule="auto"/>
              <w:jc w:val="center"/>
              <w:textAlignment w:val="center"/>
              <w:rPr>
                <w:rFonts w:ascii="宋体" w:hAnsi="宋体" w:eastAsia="宋体" w:cs="等线"/>
                <w:b/>
                <w:kern w:val="0"/>
                <w:sz w:val="24"/>
                <w:szCs w:val="24"/>
              </w:rPr>
            </w:pPr>
            <w:r>
              <w:rPr>
                <w:rFonts w:hint="eastAsia" w:ascii="宋体" w:hAnsi="宋体" w:eastAsia="宋体" w:cs="等线"/>
                <w:b/>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46"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1</w:t>
            </w:r>
          </w:p>
        </w:tc>
        <w:tc>
          <w:tcPr>
            <w:tcW w:w="1417"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病人建档</w:t>
            </w: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病人基本信息</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填写病人基本信息，包括姓名、身份证号、联系方式、户籍、职业、学历、医保等；</w:t>
            </w:r>
          </w:p>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与HIS系统对接，可同步患者基本信息；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档案基本信息</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病人HIV档案基本信息填写，包括治疗编号、治疗类型、感染途径等；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病历临床</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病人症状、体征、用药、WHO临床分期、预防用药、现病史、既往史、合并症、合并用药等数据录入；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检查检验</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针对CD4、CD8、HIV病毒载量、生化检验、尿检、检查等查检/检验结果快速导入，检查、检验项目可自定义添加。</w:t>
            </w:r>
          </w:p>
          <w:p>
            <w:pPr>
              <w:spacing w:line="360" w:lineRule="auto"/>
              <w:textAlignment w:val="center"/>
              <w:rPr>
                <w:rFonts w:ascii="宋体" w:hAnsi="宋体" w:eastAsia="宋体" w:cs="等线"/>
                <w:kern w:val="0"/>
                <w:sz w:val="24"/>
                <w:szCs w:val="24"/>
              </w:rPr>
            </w:pPr>
            <w:r>
              <w:rPr>
                <w:rFonts w:ascii="宋体" w:hAnsi="宋体" w:eastAsia="宋体" w:cs="等线"/>
                <w:kern w:val="0"/>
                <w:sz w:val="24"/>
                <w:szCs w:val="24"/>
              </w:rPr>
              <w:t xml:space="preserve">需要与相关系统对接获取检查检验数据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病历处方</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选择门诊处方快速导入病人用药数据，并可定义用药方案，用药方案可为用药方案统计提供数据支持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随访计划</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定义下次随访日期及随访注意事项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2</w:t>
            </w:r>
          </w:p>
        </w:tc>
        <w:tc>
          <w:tcPr>
            <w:tcW w:w="1417"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人员档案</w:t>
            </w: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病人档案查询</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通过姓名、抗病毒治疗号、身份证号、病人状态等查询病人档案信息及随访计划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病人建档查询</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查看病人建档数据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Times New Roman"/>
                <w:kern w:val="0"/>
                <w:sz w:val="24"/>
                <w:szCs w:val="24"/>
              </w:rPr>
              <w:t>随访档案查询</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查看病人历次随访记录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3</w:t>
            </w:r>
          </w:p>
        </w:tc>
        <w:tc>
          <w:tcPr>
            <w:tcW w:w="1417"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随访控制</w:t>
            </w:r>
          </w:p>
        </w:tc>
        <w:tc>
          <w:tcPr>
            <w:tcW w:w="2268" w:type="dxa"/>
            <w:vAlign w:val="center"/>
          </w:tcPr>
          <w:p>
            <w:pPr>
              <w:snapToGrid w:val="0"/>
              <w:spacing w:line="360" w:lineRule="auto"/>
              <w:rPr>
                <w:rFonts w:ascii="宋体" w:hAnsi="宋体" w:eastAsia="宋体" w:cs="宋体"/>
                <w:kern w:val="0"/>
                <w:sz w:val="24"/>
                <w:szCs w:val="24"/>
              </w:rPr>
            </w:pPr>
            <w:r>
              <w:rPr>
                <w:rFonts w:hint="eastAsia" w:ascii="宋体" w:hAnsi="宋体" w:eastAsia="宋体" w:cs="等线"/>
                <w:kern w:val="0"/>
                <w:sz w:val="24"/>
                <w:szCs w:val="24"/>
              </w:rPr>
              <w:t>失访随访</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对失访病人进行计划随访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计划随访</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对病人指定随访计划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continue"/>
            <w:vAlign w:val="center"/>
          </w:tcPr>
          <w:p>
            <w:pPr>
              <w:spacing w:line="360" w:lineRule="auto"/>
              <w:jc w:val="center"/>
              <w:textAlignment w:val="center"/>
              <w:rPr>
                <w:rFonts w:ascii="宋体" w:hAnsi="宋体" w:eastAsia="宋体" w:cs="等线"/>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7天内随访</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对7天内需要随访的病人进行查询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4</w:t>
            </w:r>
          </w:p>
        </w:tc>
        <w:tc>
          <w:tcPr>
            <w:tcW w:w="1417" w:type="dxa"/>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药品申领</w:t>
            </w:r>
          </w:p>
        </w:tc>
        <w:tc>
          <w:tcPr>
            <w:tcW w:w="2268" w:type="dxa"/>
            <w:vAlign w:val="center"/>
          </w:tcPr>
          <w:p>
            <w:pPr>
              <w:spacing w:line="360" w:lineRule="auto"/>
              <w:textAlignment w:val="center"/>
              <w:rPr>
                <w:rFonts w:ascii="宋体" w:hAnsi="宋体" w:eastAsia="宋体" w:cs="宋体"/>
                <w:kern w:val="0"/>
                <w:sz w:val="24"/>
                <w:szCs w:val="24"/>
              </w:rPr>
            </w:pPr>
            <w:r>
              <w:rPr>
                <w:rFonts w:hint="eastAsia" w:ascii="宋体" w:hAnsi="宋体" w:eastAsia="宋体" w:cs="等线"/>
                <w:kern w:val="0"/>
                <w:sz w:val="24"/>
                <w:szCs w:val="24"/>
              </w:rPr>
              <w:t>药品申领</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病人用药申领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5</w:t>
            </w:r>
          </w:p>
        </w:tc>
        <w:tc>
          <w:tcPr>
            <w:tcW w:w="1417" w:type="dxa"/>
            <w:vAlign w:val="center"/>
          </w:tcPr>
          <w:p>
            <w:pPr>
              <w:spacing w:line="360" w:lineRule="auto"/>
              <w:jc w:val="center"/>
              <w:textAlignment w:val="center"/>
              <w:rPr>
                <w:rFonts w:ascii="宋体" w:hAnsi="宋体" w:eastAsia="宋体" w:cs="等线"/>
                <w:kern w:val="0"/>
                <w:sz w:val="24"/>
                <w:szCs w:val="24"/>
              </w:rPr>
            </w:pPr>
            <w:r>
              <w:rPr>
                <w:rFonts w:ascii="宋体" w:hAnsi="宋体" w:eastAsia="宋体" w:cs="等线"/>
                <w:kern w:val="0"/>
                <w:sz w:val="24"/>
                <w:szCs w:val="24"/>
              </w:rPr>
              <w:t>常用指标</w:t>
            </w:r>
          </w:p>
        </w:tc>
        <w:tc>
          <w:tcPr>
            <w:tcW w:w="2268"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检验常用指标管理</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对病人固定检验项目、生化检验项目、尿常规检验项目进行管理，同时可随时添加、删除检验项目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6</w:t>
            </w:r>
          </w:p>
        </w:tc>
        <w:tc>
          <w:tcPr>
            <w:tcW w:w="1417" w:type="dxa"/>
            <w:vAlign w:val="center"/>
          </w:tcPr>
          <w:p>
            <w:pPr>
              <w:spacing w:line="360" w:lineRule="auto"/>
              <w:jc w:val="center"/>
              <w:textAlignment w:val="center"/>
              <w:rPr>
                <w:rFonts w:ascii="宋体" w:hAnsi="宋体" w:eastAsia="宋体" w:cs="等线"/>
                <w:kern w:val="0"/>
                <w:sz w:val="24"/>
                <w:szCs w:val="24"/>
              </w:rPr>
            </w:pPr>
            <w:r>
              <w:rPr>
                <w:rFonts w:ascii="宋体" w:hAnsi="宋体" w:eastAsia="宋体" w:cs="等线"/>
                <w:kern w:val="0"/>
                <w:sz w:val="24"/>
                <w:szCs w:val="24"/>
              </w:rPr>
              <w:t>统计管理</w:t>
            </w:r>
          </w:p>
        </w:tc>
        <w:tc>
          <w:tcPr>
            <w:tcW w:w="2268" w:type="dxa"/>
            <w:vAlign w:val="center"/>
          </w:tcPr>
          <w:p>
            <w:pPr>
              <w:spacing w:line="360" w:lineRule="auto"/>
              <w:textAlignment w:val="center"/>
              <w:rPr>
                <w:rFonts w:ascii="宋体" w:hAnsi="宋体" w:eastAsia="宋体" w:cs="等线"/>
                <w:kern w:val="0"/>
                <w:sz w:val="24"/>
                <w:szCs w:val="24"/>
              </w:rPr>
            </w:pPr>
            <w:r>
              <w:rPr>
                <w:rFonts w:ascii="宋体" w:hAnsi="宋体" w:eastAsia="宋体" w:cs="等线"/>
                <w:kern w:val="0"/>
                <w:sz w:val="24"/>
                <w:szCs w:val="24"/>
              </w:rPr>
              <w:t>综合统计查询</w:t>
            </w:r>
          </w:p>
        </w:tc>
        <w:tc>
          <w:tcPr>
            <w:tcW w:w="4536" w:type="dxa"/>
            <w:vAlign w:val="center"/>
          </w:tcPr>
          <w:p>
            <w:pPr>
              <w:spacing w:line="360" w:lineRule="auto"/>
              <w:textAlignment w:val="center"/>
              <w:rPr>
                <w:rFonts w:ascii="宋体" w:hAnsi="宋体" w:eastAsia="宋体" w:cs="等线"/>
                <w:kern w:val="0"/>
                <w:sz w:val="24"/>
                <w:szCs w:val="24"/>
              </w:rPr>
            </w:pPr>
            <w:r>
              <w:rPr>
                <w:rFonts w:ascii="宋体" w:hAnsi="宋体" w:eastAsia="宋体" w:cs="等线"/>
                <w:kern w:val="0"/>
                <w:sz w:val="24"/>
                <w:szCs w:val="24"/>
              </w:rPr>
              <w:t>对</w:t>
            </w:r>
            <w:r>
              <w:rPr>
                <w:rFonts w:hint="eastAsia" w:ascii="宋体" w:hAnsi="宋体" w:eastAsia="宋体" w:cs="宋体"/>
                <w:kern w:val="0"/>
                <w:sz w:val="24"/>
                <w:szCs w:val="24"/>
              </w:rPr>
              <w:t>CD4统计、检验统计、结核筛查率、配偶筛查率、随访率、实际治疗率、新发感染、干预成本等进行统计查询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restart"/>
            <w:vAlign w:val="center"/>
          </w:tcPr>
          <w:p>
            <w:pPr>
              <w:spacing w:line="360" w:lineRule="auto"/>
              <w:ind w:firstLine="196" w:firstLineChars="82"/>
              <w:textAlignment w:val="center"/>
              <w:rPr>
                <w:rFonts w:ascii="宋体" w:hAnsi="宋体" w:eastAsia="宋体" w:cs="等线"/>
                <w:kern w:val="0"/>
                <w:sz w:val="24"/>
                <w:szCs w:val="24"/>
              </w:rPr>
            </w:pPr>
            <w:r>
              <w:rPr>
                <w:rFonts w:ascii="宋体" w:hAnsi="宋体" w:eastAsia="宋体" w:cs="等线"/>
                <w:kern w:val="0"/>
                <w:sz w:val="24"/>
                <w:szCs w:val="24"/>
              </w:rPr>
              <w:t>7</w:t>
            </w:r>
          </w:p>
        </w:tc>
        <w:tc>
          <w:tcPr>
            <w:tcW w:w="1417" w:type="dxa"/>
            <w:vMerge w:val="restart"/>
            <w:vAlign w:val="center"/>
          </w:tcPr>
          <w:p>
            <w:pPr>
              <w:spacing w:line="360" w:lineRule="auto"/>
              <w:jc w:val="center"/>
              <w:textAlignment w:val="center"/>
              <w:rPr>
                <w:rFonts w:ascii="宋体" w:hAnsi="宋体" w:eastAsia="宋体" w:cs="等线"/>
                <w:kern w:val="0"/>
                <w:sz w:val="24"/>
                <w:szCs w:val="24"/>
              </w:rPr>
            </w:pPr>
            <w:r>
              <w:rPr>
                <w:rFonts w:hint="eastAsia" w:ascii="宋体" w:hAnsi="宋体" w:eastAsia="宋体" w:cs="等线"/>
                <w:kern w:val="0"/>
                <w:sz w:val="24"/>
                <w:szCs w:val="24"/>
              </w:rPr>
              <w:t>维护管理</w:t>
            </w:r>
          </w:p>
        </w:tc>
        <w:tc>
          <w:tcPr>
            <w:tcW w:w="2268"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基础数据维护</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费用来源、治疗类型、感染途径、艾滋病症状、艾滋病体征、毒副反应等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continue"/>
            <w:vAlign w:val="center"/>
          </w:tcPr>
          <w:p>
            <w:pPr>
              <w:spacing w:line="360" w:lineRule="auto"/>
              <w:ind w:firstLine="482" w:firstLineChars="200"/>
              <w:jc w:val="center"/>
              <w:textAlignment w:val="center"/>
              <w:rPr>
                <w:rFonts w:ascii="宋体" w:hAnsi="宋体" w:eastAsia="宋体" w:cs="等线"/>
                <w:b/>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药品信息维护</w:t>
            </w:r>
          </w:p>
        </w:tc>
        <w:tc>
          <w:tcPr>
            <w:tcW w:w="4536"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Times New Roman"/>
                <w:kern w:val="0"/>
                <w:sz w:val="24"/>
                <w:szCs w:val="24"/>
              </w:rPr>
              <w:t>药品信息编辑管理、HIS系统药品信息同步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continue"/>
            <w:vAlign w:val="center"/>
          </w:tcPr>
          <w:p>
            <w:pPr>
              <w:spacing w:line="360" w:lineRule="auto"/>
              <w:ind w:firstLine="482" w:firstLineChars="200"/>
              <w:jc w:val="center"/>
              <w:textAlignment w:val="center"/>
              <w:rPr>
                <w:rFonts w:ascii="宋体" w:hAnsi="宋体" w:eastAsia="宋体" w:cs="等线"/>
                <w:b/>
                <w:kern w:val="0"/>
                <w:sz w:val="24"/>
                <w:szCs w:val="24"/>
              </w:rPr>
            </w:pPr>
          </w:p>
        </w:tc>
        <w:tc>
          <w:tcPr>
            <w:tcW w:w="1417" w:type="dxa"/>
            <w:vMerge w:val="continue"/>
            <w:vAlign w:val="center"/>
          </w:tcPr>
          <w:p>
            <w:pPr>
              <w:spacing w:line="360" w:lineRule="auto"/>
              <w:ind w:firstLine="480" w:firstLineChars="200"/>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处方模板维护</w:t>
            </w:r>
          </w:p>
        </w:tc>
        <w:tc>
          <w:tcPr>
            <w:tcW w:w="4536" w:type="dxa"/>
            <w:vAlign w:val="center"/>
          </w:tcPr>
          <w:p>
            <w:pPr>
              <w:spacing w:line="360" w:lineRule="auto"/>
              <w:textAlignment w:val="center"/>
              <w:rPr>
                <w:rFonts w:ascii="宋体" w:hAnsi="宋体" w:eastAsia="宋体" w:cs="Times New Roman"/>
                <w:kern w:val="0"/>
                <w:sz w:val="24"/>
                <w:szCs w:val="24"/>
              </w:rPr>
            </w:pPr>
            <w:r>
              <w:rPr>
                <w:rFonts w:hint="eastAsia" w:ascii="宋体" w:hAnsi="宋体" w:eastAsia="宋体" w:cs="等线"/>
                <w:kern w:val="0"/>
                <w:sz w:val="24"/>
                <w:szCs w:val="24"/>
              </w:rPr>
              <w:t>自定义用药方案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continue"/>
            <w:vAlign w:val="center"/>
          </w:tcPr>
          <w:p>
            <w:pPr>
              <w:spacing w:line="360" w:lineRule="auto"/>
              <w:ind w:firstLine="482" w:firstLineChars="200"/>
              <w:jc w:val="center"/>
              <w:textAlignment w:val="center"/>
              <w:rPr>
                <w:rFonts w:ascii="宋体" w:hAnsi="宋体" w:eastAsia="宋体" w:cs="等线"/>
                <w:b/>
                <w:kern w:val="0"/>
                <w:sz w:val="24"/>
                <w:szCs w:val="24"/>
              </w:rPr>
            </w:pPr>
          </w:p>
        </w:tc>
        <w:tc>
          <w:tcPr>
            <w:tcW w:w="1417" w:type="dxa"/>
            <w:vMerge w:val="continue"/>
            <w:vAlign w:val="center"/>
          </w:tcPr>
          <w:p>
            <w:pPr>
              <w:spacing w:line="360" w:lineRule="auto"/>
              <w:ind w:firstLine="480" w:firstLineChars="200"/>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检查项目维护</w:t>
            </w:r>
          </w:p>
        </w:tc>
        <w:tc>
          <w:tcPr>
            <w:tcW w:w="4536" w:type="dxa"/>
            <w:vAlign w:val="center"/>
          </w:tcPr>
          <w:p>
            <w:pPr>
              <w:spacing w:line="360" w:lineRule="auto"/>
              <w:textAlignment w:val="center"/>
              <w:rPr>
                <w:rFonts w:ascii="宋体" w:hAnsi="宋体" w:eastAsia="宋体" w:cs="等线"/>
                <w:kern w:val="0"/>
                <w:sz w:val="24"/>
                <w:szCs w:val="24"/>
              </w:rPr>
            </w:pPr>
            <w:r>
              <w:rPr>
                <w:rFonts w:ascii="宋体" w:hAnsi="宋体" w:eastAsia="宋体" w:cs="等线"/>
                <w:kern w:val="0"/>
                <w:sz w:val="24"/>
                <w:szCs w:val="24"/>
              </w:rPr>
              <w:t>检验检查项目维护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46" w:type="dxa"/>
            <w:vMerge w:val="continue"/>
            <w:vAlign w:val="center"/>
          </w:tcPr>
          <w:p>
            <w:pPr>
              <w:spacing w:line="360" w:lineRule="auto"/>
              <w:jc w:val="center"/>
              <w:textAlignment w:val="center"/>
              <w:rPr>
                <w:rFonts w:ascii="宋体" w:hAnsi="宋体" w:eastAsia="宋体" w:cs="等线"/>
                <w:b/>
                <w:kern w:val="0"/>
                <w:sz w:val="24"/>
                <w:szCs w:val="24"/>
              </w:rPr>
            </w:pPr>
          </w:p>
        </w:tc>
        <w:tc>
          <w:tcPr>
            <w:tcW w:w="1417" w:type="dxa"/>
            <w:vMerge w:val="continue"/>
            <w:vAlign w:val="center"/>
          </w:tcPr>
          <w:p>
            <w:pPr>
              <w:spacing w:line="360" w:lineRule="auto"/>
              <w:jc w:val="center"/>
              <w:textAlignment w:val="center"/>
              <w:rPr>
                <w:rFonts w:ascii="宋体" w:hAnsi="宋体" w:eastAsia="宋体" w:cs="等线"/>
                <w:kern w:val="0"/>
                <w:sz w:val="24"/>
                <w:szCs w:val="24"/>
              </w:rPr>
            </w:pPr>
          </w:p>
        </w:tc>
        <w:tc>
          <w:tcPr>
            <w:tcW w:w="2268" w:type="dxa"/>
            <w:vAlign w:val="center"/>
          </w:tcPr>
          <w:p>
            <w:pPr>
              <w:spacing w:line="360" w:lineRule="auto"/>
              <w:textAlignment w:val="center"/>
              <w:rPr>
                <w:rFonts w:ascii="宋体" w:hAnsi="宋体" w:eastAsia="宋体" w:cs="等线"/>
                <w:kern w:val="0"/>
                <w:sz w:val="24"/>
                <w:szCs w:val="24"/>
              </w:rPr>
            </w:pPr>
            <w:r>
              <w:rPr>
                <w:rFonts w:hint="eastAsia" w:ascii="宋体" w:hAnsi="宋体" w:eastAsia="宋体" w:cs="等线"/>
                <w:kern w:val="0"/>
                <w:sz w:val="24"/>
                <w:szCs w:val="24"/>
              </w:rPr>
              <w:t>账号维护</w:t>
            </w:r>
          </w:p>
        </w:tc>
        <w:tc>
          <w:tcPr>
            <w:tcW w:w="4536" w:type="dxa"/>
            <w:vAlign w:val="center"/>
          </w:tcPr>
          <w:p>
            <w:pPr>
              <w:spacing w:line="360" w:lineRule="auto"/>
              <w:textAlignment w:val="center"/>
              <w:rPr>
                <w:rFonts w:ascii="宋体" w:hAnsi="宋体" w:eastAsia="宋体" w:cs="等线"/>
                <w:kern w:val="0"/>
                <w:sz w:val="24"/>
                <w:szCs w:val="24"/>
              </w:rPr>
            </w:pPr>
            <w:r>
              <w:rPr>
                <w:rFonts w:ascii="宋体" w:hAnsi="宋体" w:eastAsia="宋体" w:cs="等线"/>
                <w:kern w:val="0"/>
                <w:sz w:val="24"/>
                <w:szCs w:val="24"/>
              </w:rPr>
              <w:t>各用户名称、权限进行维护</w:t>
            </w:r>
          </w:p>
        </w:tc>
      </w:tr>
    </w:tbl>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三、项目工期要求</w:t>
      </w:r>
    </w:p>
    <w:p>
      <w:pPr>
        <w:spacing w:line="360" w:lineRule="auto"/>
        <w:ind w:firstLine="482" w:firstLineChars="200"/>
        <w:jc w:val="left"/>
        <w:rPr>
          <w:rFonts w:ascii="Times New Roman" w:hAnsi="Times New Roman" w:eastAsia="宋体" w:cs="Times New Roman"/>
          <w:b/>
          <w:sz w:val="24"/>
          <w:szCs w:val="20"/>
          <w:u w:color="000000"/>
        </w:rPr>
      </w:pPr>
      <w:r>
        <w:rPr>
          <w:rFonts w:hint="eastAsia" w:ascii="Times New Roman" w:hAnsi="Times New Roman" w:eastAsia="宋体" w:cs="Times New Roman"/>
          <w:b/>
          <w:sz w:val="24"/>
          <w:szCs w:val="20"/>
          <w:u w:color="000000"/>
        </w:rPr>
        <w:t>本项目要求合同签订后</w:t>
      </w:r>
      <w:r>
        <w:rPr>
          <w:rFonts w:ascii="Times New Roman" w:hAnsi="Times New Roman" w:eastAsia="宋体" w:cs="Times New Roman"/>
          <w:b/>
          <w:sz w:val="24"/>
          <w:szCs w:val="20"/>
          <w:u w:color="000000"/>
        </w:rPr>
        <w:t>3</w:t>
      </w:r>
      <w:r>
        <w:rPr>
          <w:rFonts w:hint="eastAsia" w:ascii="Times New Roman" w:hAnsi="Times New Roman" w:eastAsia="宋体" w:cs="Times New Roman"/>
          <w:b/>
          <w:sz w:val="24"/>
          <w:szCs w:val="20"/>
          <w:u w:color="000000"/>
        </w:rPr>
        <w:t>0日历天内完成系统上线运行。</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四、售后服务要求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（一）系统扩充、升级方面技术支持服务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系统需要支持后期不断升级完善服务，在项目质保期内，安排专人负责售后维护工作，包括系统运行维护、系统需求整理反馈等；</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同时，系统需要符合省级监管部门对艾滋病专项管理信息化建设要求。</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（二）保修年限、范围、保修条件</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中标人必须至少提供系统验收合格正式运行后</w:t>
      </w:r>
      <w:r>
        <w:rPr>
          <w:rFonts w:ascii="Times New Roman" w:hAnsi="Times New Roman" w:eastAsia="宋体"/>
          <w:bCs/>
          <w:sz w:val="24"/>
          <w:szCs w:val="24"/>
        </w:rPr>
        <w:t>1</w:t>
      </w:r>
      <w:r>
        <w:rPr>
          <w:rFonts w:hint="eastAsia" w:ascii="Times New Roman" w:hAnsi="Times New Roman" w:eastAsia="宋体"/>
          <w:bCs/>
          <w:sz w:val="24"/>
          <w:szCs w:val="24"/>
        </w:rPr>
        <w:t>年内的免费维护，并在投标文件中列出免费质保期满后的每年售后维保费（不限次数）。</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（三）解决问题、排除故障效率</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如发生系统故障，技术人员在得到通知后2小时内提供在线支持，若系统无法正常运行，24小时内到达医院，排除故障。</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（四）售后服务的形式</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在合同签定后，根据院方具体问题提供以下几种形式的技术服务：</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1、培训系统管理员</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系统试运行期间，负责为院方免费培训1-2名系统维护人员，通过培训，使维护人员能熟练规范的进行操作，对一般故障能进行处理和日常维护。所有的培训费用必须计入投标总价。</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2、电话咨询</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免费提供每周7天/每天24小时不间断的电话支持服务，解答院方在系统使用、维护过程中遇到的问题，及时提出解决问题的建议和操作方法。</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3、远程在线诊断和故障排除</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能帮助医院建立远程维护系统，对于电话咨询无法解决的问题，</w:t>
      </w:r>
      <w:r>
        <w:rPr>
          <w:rFonts w:ascii="Times New Roman" w:hAnsi="Times New Roman" w:eastAsia="宋体"/>
          <w:bCs/>
          <w:sz w:val="24"/>
          <w:szCs w:val="24"/>
        </w:rPr>
        <w:t>技术</w:t>
      </w:r>
      <w:r>
        <w:rPr>
          <w:rFonts w:hint="eastAsia" w:ascii="Times New Roman" w:hAnsi="Times New Roman" w:eastAsia="宋体"/>
          <w:bCs/>
          <w:sz w:val="24"/>
          <w:szCs w:val="24"/>
        </w:rPr>
        <w:t>工程师经院方授权通过电话线、宽带网等方式远程登录到院方网络系统进行的故障诊断和故障排除。</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4、重大技术问题处理</w:t>
      </w:r>
    </w:p>
    <w:p>
      <w:pPr>
        <w:spacing w:line="360" w:lineRule="auto"/>
        <w:ind w:firstLine="480" w:firstLineChars="200"/>
        <w:rPr>
          <w:rFonts w:ascii="Times New Roman" w:hAnsi="Times New Roman" w:eastAsia="宋体"/>
          <w:bCs/>
          <w:sz w:val="24"/>
          <w:szCs w:val="24"/>
        </w:rPr>
      </w:pPr>
      <w:r>
        <w:rPr>
          <w:rFonts w:hint="eastAsia" w:ascii="Times New Roman" w:hAnsi="Times New Roman" w:eastAsia="宋体"/>
          <w:bCs/>
          <w:sz w:val="24"/>
          <w:szCs w:val="24"/>
        </w:rPr>
        <w:t>对重大的技术问题，技术支持部门应协调组织专业技术小组讨论并解决问题，以确保系统的正常运行。</w:t>
      </w:r>
    </w:p>
    <w:p>
      <w:pPr>
        <w:spacing w:line="360" w:lineRule="auto"/>
        <w:ind w:firstLine="482" w:firstLineChars="200"/>
        <w:rPr>
          <w:rFonts w:ascii="Times New Roman" w:hAnsi="Times New Roman" w:eastAsia="宋体" w:cstheme="majorBidi"/>
          <w:b/>
          <w:bCs/>
          <w:sz w:val="24"/>
          <w:szCs w:val="24"/>
          <w:shd w:val="clear" w:color="auto" w:fill="FFFFFF"/>
        </w:rPr>
      </w:pPr>
      <w:r>
        <w:rPr>
          <w:rFonts w:hint="eastAsia" w:ascii="Times New Roman" w:hAnsi="Times New Roman" w:eastAsia="宋体" w:cstheme="majorBidi"/>
          <w:b/>
          <w:bCs/>
          <w:sz w:val="24"/>
          <w:szCs w:val="24"/>
          <w:shd w:val="clear" w:color="auto" w:fill="FFFFFF"/>
        </w:rPr>
        <w:t>五、验收</w:t>
      </w:r>
    </w:p>
    <w:p>
      <w:pPr>
        <w:spacing w:line="360" w:lineRule="auto"/>
        <w:ind w:firstLine="480" w:firstLineChars="200"/>
        <w:rPr>
          <w:rFonts w:ascii="Times New Roman" w:hAnsi="Times New Roman" w:eastAsia="宋体" w:cs="宋体"/>
          <w:bCs/>
          <w:sz w:val="24"/>
          <w:szCs w:val="24"/>
          <w:shd w:val="clear" w:color="auto" w:fill="FFFFFF"/>
        </w:rPr>
      </w:pPr>
      <w:r>
        <w:rPr>
          <w:rFonts w:hint="eastAsia" w:ascii="Times New Roman" w:hAnsi="Times New Roman" w:eastAsia="宋体" w:cs="宋体"/>
          <w:bCs/>
          <w:sz w:val="24"/>
          <w:szCs w:val="24"/>
          <w:shd w:val="clear" w:color="auto" w:fill="FFFFFF"/>
        </w:rPr>
        <w:t>验收要求：由采购人组织，服务成果需符合现有国家、江苏省及项目所在地要求、行业及地方通用标准和惯例以及采购人的设计验收标准。</w:t>
      </w:r>
    </w:p>
    <w:p>
      <w:pPr>
        <w:widowControl/>
        <w:spacing w:line="440" w:lineRule="exact"/>
        <w:ind w:firstLine="480"/>
        <w:jc w:val="left"/>
        <w:rPr>
          <w:rFonts w:ascii="Times New Roman" w:hAnsi="Times New Roman" w:eastAsia="宋体" w:cs="Times New Roman"/>
          <w:b/>
          <w:kern w:val="0"/>
          <w:sz w:val="24"/>
          <w:szCs w:val="24"/>
          <w:lang w:val="en-GB"/>
        </w:rPr>
      </w:pPr>
      <w:r>
        <w:rPr>
          <w:rFonts w:hint="eastAsia" w:ascii="Times New Roman" w:hAnsi="Times New Roman" w:eastAsia="宋体" w:cs="Times New Roman"/>
          <w:b/>
          <w:kern w:val="0"/>
          <w:sz w:val="24"/>
          <w:szCs w:val="24"/>
          <w:lang w:val="en-GB"/>
        </w:rPr>
        <w:t>六、付款方式</w:t>
      </w:r>
    </w:p>
    <w:p>
      <w:pPr>
        <w:spacing w:line="440" w:lineRule="exact"/>
        <w:ind w:firstLine="472" w:firstLineChars="196"/>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合同签订后支付合同总价的30%，项目验收合格后支付合同总价的60%，验收合格满一年后支付合同总价的10%。</w:t>
      </w:r>
    </w:p>
    <w:p>
      <w:pPr>
        <w:spacing w:line="440" w:lineRule="exact"/>
        <w:ind w:firstLine="472" w:firstLineChars="196"/>
        <w:jc w:val="left"/>
        <w:rPr>
          <w:rFonts w:ascii="Times New Roman" w:hAnsi="Times New Roman" w:eastAsia="宋体" w:cs="Times New Roman"/>
          <w:b/>
          <w:sz w:val="24"/>
          <w:szCs w:val="24"/>
        </w:rPr>
      </w:pPr>
      <w:r>
        <w:rPr>
          <w:rFonts w:hint="eastAsia" w:ascii="Times New Roman" w:hAnsi="Times New Roman" w:eastAsia="宋体" w:cs="Times New Roman"/>
          <w:b/>
          <w:sz w:val="24"/>
          <w:szCs w:val="24"/>
        </w:rPr>
        <w:t>以上付款均不计利息，中标人应出具由税务部门认可的正式发票。</w:t>
      </w:r>
    </w:p>
    <w:p>
      <w:pPr>
        <w:spacing w:line="360" w:lineRule="auto"/>
        <w:ind w:firstLine="707" w:firstLineChars="200"/>
        <w:jc w:val="left"/>
        <w:rPr>
          <w:rFonts w:ascii="Times New Roman" w:hAnsi="Times New Roman" w:eastAsia="宋体" w:cs="宋体"/>
          <w:bCs/>
          <w:sz w:val="24"/>
          <w:szCs w:val="24"/>
        </w:rPr>
      </w:pPr>
      <w:r>
        <w:rPr>
          <w:rFonts w:ascii="Times New Roman" w:hAnsi="Times New Roman" w:eastAsia="宋体"/>
          <w:b/>
          <w:w w:val="80"/>
          <w:sz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第四章</w:t>
      </w:r>
      <w:bookmarkStart w:id="10" w:name="_Toc182848996"/>
      <w:bookmarkStart w:id="11" w:name="_Toc38121794"/>
      <w:bookmarkStart w:id="12" w:name="_Toc43217893"/>
      <w:bookmarkStart w:id="13" w:name="_Toc37322565"/>
      <w:bookmarkStart w:id="14" w:name="_Toc85627670"/>
      <w:r>
        <w:rPr>
          <w:rFonts w:hint="eastAsia" w:ascii="Times New Roman" w:hAnsi="Times New Roman" w:eastAsia="宋体" w:cs="宋体"/>
          <w:w w:val="80"/>
          <w:sz w:val="48"/>
          <w:szCs w:val="44"/>
        </w:rPr>
        <w:t xml:space="preserve"> 评审方法和程序</w:t>
      </w:r>
      <w:bookmarkEnd w:id="10"/>
      <w:bookmarkEnd w:id="11"/>
      <w:bookmarkEnd w:id="12"/>
      <w:bookmarkEnd w:id="13"/>
      <w:bookmarkEnd w:id="14"/>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bookmarkStart w:id="15" w:name="_Toc363573857"/>
      <w:bookmarkEnd w:id="15"/>
      <w:r>
        <w:rPr>
          <w:rFonts w:hint="eastAsia" w:ascii="Times New Roman" w:hAnsi="Times New Roman" w:cs="宋体"/>
          <w:b/>
          <w:bCs/>
          <w:szCs w:val="24"/>
          <w:shd w:val="clear" w:color="auto" w:fill="FFFFFF"/>
        </w:rPr>
        <w:t>一、代理机构组织磋商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1、本次竞争性磋商依据《中华人民共和国政府采购法》、《政府采购竞争性磋商采购方式管理暂行办法》及有关法规成立磋商小组。磋商小组由3人以上单数组成。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2、磋商小组的职责：</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（1）磋商小组成员应当按照客观、公正、审慎的原则，根据磋商文件规定的评审程序、评审方法和评审标准进行独立评审。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（2）磋商小组成员应当遵守评审工作纪律，不得泄露评审情况和评审中获悉的商业秘密，对个人的评审意见承担法律责任；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（3）磋商小组成员在评审过程中发现供应商有行贿、提供虚假材料或者串通等违法行为的，应当及时向财政部门报告。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（4）磋商小组成员在评审过程中受到非法干涉的，应当及时向财政、监察等部门举报。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（5）配合采购单位答复供应商提出的质疑；配合财政部门的投诉处理和监督检查工作。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3、评审有关记录由磋商小组成员签名，存档备查。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4、供应商的法定代表人或被授权人须持身份证准时参加磋商开标会。</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二、磋商的原则及方法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1、磋商小组依据《中华人民共和国政府采购法》、《政府采购竞争性磋商采购方式管理暂行办法》以及有关政府采购的相关法规，遵循“公开、公平、公正、择优、信用”的原则进行磋商评审。</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4、除非在磋商中磋商小组对采购单位需求内容作了调整增加，或对采购内容作了实质性变更，否则</w:t>
      </w:r>
      <w:r>
        <w:rPr>
          <w:rFonts w:hint="eastAsia" w:ascii="Times New Roman" w:hAnsi="Times New Roman" w:eastAsia="宋体" w:cs="宋体"/>
          <w:b/>
          <w:sz w:val="24"/>
          <w:szCs w:val="24"/>
        </w:rPr>
        <w:t>采购单位不接受供应商高于自己前一轮的磋商报价</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5、对于在磋商顺利开始后至最终报价前，根据磋商情况退出磋商的供应商，须以书面形式说明退出磋商的原因，经磋商小组同意可以退出磋商。</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6、</w:t>
      </w:r>
      <w:r>
        <w:rPr>
          <w:rFonts w:hint="eastAsia" w:ascii="Times New Roman" w:hAnsi="Times New Roman" w:eastAsia="宋体"/>
          <w:sz w:val="24"/>
          <w:szCs w:val="24"/>
        </w:rPr>
        <w:t>单位负责人为同一人或者存在直接控股、管理关系的不同供应商，都不得在同一采购项目相同标段中同时参加磋商，一经发现，将视同围标处理。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8、若采购过程中符合要求的供应商只有两家，则由磋商小组集体讨论决定是否继续进行竞争性磋商采购活动；若采购过程中符合要求的供应商只有一家，则终止本次竞争性磋商采购活动，重新开展采购活动。</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三、磋商评定结果的方法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u w:val="single"/>
        </w:rPr>
        <w:t>经磋商确定最终采购需求和提交最后报价的供应商后，</w:t>
      </w:r>
      <w:r>
        <w:rPr>
          <w:rFonts w:hint="eastAsia" w:ascii="Times New Roman" w:hAnsi="Times New Roman" w:eastAsia="宋体" w:cs="宋体"/>
          <w:sz w:val="24"/>
          <w:szCs w:val="24"/>
        </w:rPr>
        <w:t>由磋商小组采用综合评分法</w:t>
      </w:r>
      <w:r>
        <w:rPr>
          <w:rFonts w:hint="eastAsia" w:ascii="Times New Roman" w:hAnsi="Times New Roman" w:eastAsia="宋体" w:cs="宋体"/>
          <w:b/>
          <w:sz w:val="24"/>
          <w:szCs w:val="24"/>
          <w:u w:val="single"/>
        </w:rPr>
        <w:t>对提交最后报价的供应商的响应文件和最后报价</w:t>
      </w:r>
      <w:r>
        <w:rPr>
          <w:rFonts w:hint="eastAsia" w:ascii="Times New Roman" w:hAnsi="Times New Roman" w:eastAsia="宋体" w:cs="宋体"/>
          <w:sz w:val="24"/>
          <w:szCs w:val="24"/>
        </w:rPr>
        <w:t>进行综合评分。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2、评审时，磋商小组各成员应当独立对每个有效响应的文件进行评价、打分，然后汇总每个供应商每项评分因素的得分（计算结果均四舍五入保留两位小数）。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3、本次项目磋商的技术和报价评审总分值为100分。两部分评审因素比重如下：</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技术分值占总分值的比重为</w:t>
      </w:r>
      <w:r>
        <w:rPr>
          <w:rFonts w:hint="eastAsia" w:ascii="Times New Roman" w:hAnsi="Times New Roman" w:eastAsia="宋体" w:cs="宋体"/>
          <w:b/>
          <w:sz w:val="24"/>
          <w:szCs w:val="24"/>
          <w:u w:val="single"/>
        </w:rPr>
        <w:t>70%（权重）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报价分值占总分值的比重为</w:t>
      </w:r>
      <w:r>
        <w:rPr>
          <w:rFonts w:hint="eastAsia" w:ascii="Times New Roman" w:hAnsi="Times New Roman" w:eastAsia="宋体" w:cs="宋体"/>
          <w:b/>
          <w:sz w:val="24"/>
          <w:szCs w:val="24"/>
          <w:u w:val="single"/>
        </w:rPr>
        <w:t>30%（权重）</w:t>
      </w:r>
      <w:r>
        <w:rPr>
          <w:rFonts w:hint="eastAsia" w:ascii="Times New Roman" w:hAnsi="Times New Roman" w:eastAsia="宋体" w:cs="宋体"/>
          <w:sz w:val="24"/>
          <w:szCs w:val="24"/>
        </w:rPr>
        <w:t>（四舍五入保留两位小数）。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4、技术分按算术平均值计算，分值四舍五入保留两位小数。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5、报价分统一采用低价优先法计算直接取得，与技术分相加为供应商的综合得分（四舍五入保留两位小数）。</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6、综合得分最高的供应商推荐为项目预成交人并出具评审磋商报告。</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7、确定成交候选人的特殊情况处理：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（1）若总分相同，则按最终报价响应得分高者优先中标。</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（2）若总分且最终报价响应得分相同，则采取现场抽签的方式确定（投标供应商的抽签顺序分别为各投标供应商递交响应文件签到顺序号）。</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8、磋商评审时，评委对评审的细则若有争议，由磋商小组集体讨论确定，并对未尽情况有最终解释权。</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9、对落标的供应商不做落标原因的解释。</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四、综合评分评审标准</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（一）技术分：（70分）</w:t>
      </w:r>
    </w:p>
    <w:tbl>
      <w:tblPr>
        <w:tblStyle w:val="18"/>
        <w:tblW w:w="9854" w:type="dxa"/>
        <w:tblInd w:w="0" w:type="dxa"/>
        <w:tblLayout w:type="fixed"/>
        <w:tblCellMar>
          <w:top w:w="0" w:type="dxa"/>
          <w:left w:w="108" w:type="dxa"/>
          <w:bottom w:w="0" w:type="dxa"/>
          <w:right w:w="108" w:type="dxa"/>
        </w:tblCellMar>
      </w:tblPr>
      <w:tblGrid>
        <w:gridCol w:w="656"/>
        <w:gridCol w:w="1579"/>
        <w:gridCol w:w="6945"/>
        <w:gridCol w:w="674"/>
      </w:tblGrid>
      <w:tr>
        <w:tblPrEx>
          <w:tblCellMar>
            <w:top w:w="0" w:type="dxa"/>
            <w:left w:w="108" w:type="dxa"/>
            <w:bottom w:w="0" w:type="dxa"/>
            <w:right w:w="108" w:type="dxa"/>
          </w:tblCellMar>
        </w:tblPrEx>
        <w:trPr>
          <w:trHeight w:val="644"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序号</w:t>
            </w:r>
          </w:p>
        </w:tc>
        <w:tc>
          <w:tcPr>
            <w:tcW w:w="1579"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szCs w:val="21"/>
              </w:rPr>
              <w:t>评审内容</w:t>
            </w:r>
          </w:p>
        </w:tc>
        <w:tc>
          <w:tcPr>
            <w:tcW w:w="6945"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szCs w:val="21"/>
              </w:rPr>
              <w:t>评审细则</w:t>
            </w:r>
          </w:p>
        </w:tc>
        <w:tc>
          <w:tcPr>
            <w:tcW w:w="674"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分值</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1</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szCs w:val="21"/>
              </w:rPr>
              <w:t>企业综合实力评价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1.投标人有高新技术企业证书得</w:t>
            </w:r>
            <w:r>
              <w:rPr>
                <w:rFonts w:ascii="Times New Roman" w:hAnsi="Times New Roman" w:eastAsia="宋体" w:cs="仿宋"/>
                <w:szCs w:val="21"/>
              </w:rPr>
              <w:t>2</w:t>
            </w:r>
            <w:r>
              <w:rPr>
                <w:rFonts w:hint="eastAsia" w:ascii="Times New Roman" w:hAnsi="Times New Roman" w:eastAsia="宋体" w:cs="仿宋"/>
                <w:szCs w:val="21"/>
              </w:rPr>
              <w:t>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2.投标人有软件企业证书得</w:t>
            </w:r>
            <w:r>
              <w:rPr>
                <w:rFonts w:ascii="Times New Roman" w:hAnsi="Times New Roman" w:eastAsia="宋体" w:cs="仿宋"/>
                <w:szCs w:val="21"/>
              </w:rPr>
              <w:t>2</w:t>
            </w:r>
            <w:r>
              <w:rPr>
                <w:rFonts w:hint="eastAsia" w:ascii="Times New Roman" w:hAnsi="Times New Roman" w:eastAsia="宋体" w:cs="仿宋"/>
                <w:szCs w:val="21"/>
              </w:rPr>
              <w:t>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3.投标人有ISO9001质量体系认证证书得2分，没有不得分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4.投标人具有企业资信等级AAA，得2分；AA级，得1分，否则不得分；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5.投标人有信息安全管理体系认证证书得2分，没有不得分；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6.投标人有信息技术服务管理体系认证证书得2分，没有不得分；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7.投标人有软件成熟度3级（C</w:t>
            </w:r>
            <w:r>
              <w:rPr>
                <w:rFonts w:ascii="Times New Roman" w:hAnsi="Times New Roman" w:eastAsia="宋体" w:cs="仿宋"/>
                <w:szCs w:val="21"/>
              </w:rPr>
              <w:t>MMMI3）</w:t>
            </w:r>
            <w:r>
              <w:rPr>
                <w:rFonts w:hint="eastAsia" w:ascii="Times New Roman" w:hAnsi="Times New Roman" w:eastAsia="宋体" w:cs="仿宋"/>
                <w:szCs w:val="21"/>
              </w:rPr>
              <w:t>认证证书得2分，没有不得分；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8.投标人有环境管理体系认证证书得</w:t>
            </w:r>
            <w:r>
              <w:rPr>
                <w:rFonts w:ascii="Times New Roman" w:hAnsi="Times New Roman" w:eastAsia="宋体" w:cs="仿宋"/>
                <w:szCs w:val="21"/>
              </w:rPr>
              <w:t>2</w:t>
            </w:r>
            <w:r>
              <w:rPr>
                <w:rFonts w:hint="eastAsia" w:ascii="Times New Roman" w:hAnsi="Times New Roman" w:eastAsia="宋体" w:cs="仿宋"/>
                <w:szCs w:val="21"/>
              </w:rPr>
              <w:t>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9.投标人从事医院信息化建设，提供与医院信息化相关的软件产品著作权证书，一个得1分，最多得4分，没有不得分。</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10.投标人提供艾滋病专项管理系统著作权证书得5分，没有不得分。</w:t>
            </w:r>
          </w:p>
          <w:p>
            <w:pPr>
              <w:spacing w:line="360" w:lineRule="auto"/>
              <w:textAlignment w:val="baseline"/>
              <w:rPr>
                <w:rFonts w:ascii="Times New Roman" w:hAnsi="Times New Roman" w:eastAsia="宋体" w:cs="仿宋"/>
                <w:sz w:val="20"/>
                <w:szCs w:val="21"/>
              </w:rPr>
            </w:pPr>
            <w:r>
              <w:rPr>
                <w:rFonts w:hint="eastAsia" w:ascii="Times New Roman" w:hAnsi="Times New Roman" w:eastAsia="宋体" w:cs="仿宋"/>
                <w:szCs w:val="21"/>
              </w:rPr>
              <w:t>注：投标文件中提供相关证书复印件，原件备查。</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 w:val="20"/>
                <w:szCs w:val="21"/>
              </w:rPr>
              <w:t>25</w:t>
            </w:r>
          </w:p>
        </w:tc>
      </w:tr>
      <w:tr>
        <w:tblPrEx>
          <w:tblCellMar>
            <w:top w:w="0" w:type="dxa"/>
            <w:left w:w="108" w:type="dxa"/>
            <w:bottom w:w="0" w:type="dxa"/>
            <w:right w:w="108" w:type="dxa"/>
          </w:tblCellMar>
        </w:tblPrEx>
        <w:trPr>
          <w:trHeight w:val="933"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2</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Cs w:val="21"/>
              </w:rPr>
            </w:pPr>
            <w:r>
              <w:rPr>
                <w:rFonts w:hint="eastAsia" w:ascii="Times New Roman" w:hAnsi="Times New Roman" w:eastAsia="宋体" w:cs="Times New Roman"/>
                <w:szCs w:val="21"/>
              </w:rPr>
              <w:t>成功案例评价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自2018年1月1日以来，供应商具有艾滋病专项管理系统建设的成功案例（提供合同复印件、原件备查），有一个得5分，没有不得分。</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471" w:hRule="atLeast"/>
        </w:trPr>
        <w:tc>
          <w:tcPr>
            <w:tcW w:w="6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3</w:t>
            </w:r>
          </w:p>
        </w:tc>
        <w:tc>
          <w:tcPr>
            <w:tcW w:w="1579" w:type="dxa"/>
            <w:tcBorders>
              <w:top w:val="single" w:color="auto" w:sz="4" w:space="0"/>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sz w:val="20"/>
                <w:szCs w:val="21"/>
              </w:rPr>
            </w:pPr>
            <w:r>
              <w:rPr>
                <w:rFonts w:hint="eastAsia" w:ascii="Times New Roman" w:hAnsi="Times New Roman" w:eastAsia="宋体" w:cs="Times New Roman"/>
                <w:szCs w:val="21"/>
              </w:rPr>
              <w:t>技术评价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根据投标人对招标内容中的技术要求响应状况综合打分。评委根据投标文件中的技术响应情况进行核对，所有技术指标完全响应或优于招标文件要求的得满分30分，有一项不符合扣1.5分，扣完为止。</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 投标文件技术响应需提供相关功能截图，不能提供功能截图的不得分。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 w:val="20"/>
                <w:szCs w:val="21"/>
              </w:rPr>
            </w:pPr>
            <w:r>
              <w:rPr>
                <w:rFonts w:hint="eastAsia" w:ascii="Times New Roman" w:hAnsi="Times New Roman" w:eastAsia="宋体" w:cs="仿宋"/>
                <w:szCs w:val="21"/>
              </w:rPr>
              <w:t>30</w:t>
            </w:r>
          </w:p>
        </w:tc>
      </w:tr>
      <w:tr>
        <w:tblPrEx>
          <w:tblCellMar>
            <w:top w:w="0" w:type="dxa"/>
            <w:left w:w="108" w:type="dxa"/>
            <w:bottom w:w="0" w:type="dxa"/>
            <w:right w:w="108" w:type="dxa"/>
          </w:tblCellMar>
        </w:tblPrEx>
        <w:trPr>
          <w:trHeight w:val="471" w:hRule="atLeast"/>
        </w:trPr>
        <w:tc>
          <w:tcPr>
            <w:tcW w:w="656" w:type="dxa"/>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4</w:t>
            </w:r>
          </w:p>
        </w:tc>
        <w:tc>
          <w:tcPr>
            <w:tcW w:w="1579" w:type="dxa"/>
            <w:tcBorders>
              <w:top w:val="nil"/>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szCs w:val="21"/>
                <w:highlight w:val="red"/>
              </w:rPr>
            </w:pPr>
            <w:r>
              <w:rPr>
                <w:rFonts w:hint="eastAsia" w:ascii="Times New Roman" w:hAnsi="Times New Roman" w:eastAsia="宋体" w:cs="Times New Roman"/>
                <w:szCs w:val="21"/>
              </w:rPr>
              <w:t>项目实施方案评价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highlight w:val="red"/>
              </w:rPr>
            </w:pPr>
            <w:r>
              <w:rPr>
                <w:rFonts w:hint="eastAsia" w:ascii="Times New Roman" w:hAnsi="Times New Roman" w:eastAsia="宋体" w:cs="仿宋"/>
                <w:szCs w:val="21"/>
              </w:rPr>
              <w:t>根据招标文件中的功能需求，是否有完整的实施方案，涵盖系统需求分析、测试、试运行、验收、进度安排等，其项目管理制度及管理方案是否具有科学性、合理性和可执行性。酌情分档给分，最优者得5分，良好者得3分，一般者得1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highlight w:val="red"/>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471" w:hRule="atLeast"/>
        </w:trPr>
        <w:tc>
          <w:tcPr>
            <w:tcW w:w="656" w:type="dxa"/>
            <w:tcBorders>
              <w:top w:val="nil"/>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Cs w:val="21"/>
              </w:rPr>
            </w:pPr>
            <w:r>
              <w:rPr>
                <w:rFonts w:hint="eastAsia" w:ascii="Times New Roman" w:hAnsi="Times New Roman" w:eastAsia="宋体" w:cs="仿宋"/>
                <w:szCs w:val="21"/>
              </w:rPr>
              <w:t>5</w:t>
            </w:r>
          </w:p>
        </w:tc>
        <w:tc>
          <w:tcPr>
            <w:tcW w:w="1579" w:type="dxa"/>
            <w:tcBorders>
              <w:top w:val="nil"/>
              <w:left w:val="nil"/>
              <w:bottom w:val="single" w:color="auto" w:sz="4" w:space="0"/>
              <w:right w:val="single" w:color="auto" w:sz="4" w:space="0"/>
            </w:tcBorders>
            <w:vAlign w:val="center"/>
          </w:tcPr>
          <w:p>
            <w:pPr>
              <w:spacing w:line="360" w:lineRule="auto"/>
              <w:jc w:val="left"/>
              <w:textAlignment w:val="baseline"/>
              <w:rPr>
                <w:rFonts w:ascii="Times New Roman" w:hAnsi="Times New Roman" w:eastAsia="宋体" w:cs="Times New Roman"/>
                <w:szCs w:val="21"/>
              </w:rPr>
            </w:pPr>
            <w:r>
              <w:rPr>
                <w:rFonts w:hint="eastAsia" w:ascii="Times New Roman" w:hAnsi="Times New Roman" w:eastAsia="宋体" w:cs="Times New Roman"/>
                <w:szCs w:val="21"/>
              </w:rPr>
              <w:t>售后及培训方案评价</w:t>
            </w:r>
          </w:p>
        </w:tc>
        <w:tc>
          <w:tcPr>
            <w:tcW w:w="6945" w:type="dxa"/>
            <w:tcBorders>
              <w:top w:val="single" w:color="auto" w:sz="4" w:space="0"/>
              <w:left w:val="nil"/>
              <w:bottom w:val="single" w:color="auto" w:sz="4" w:space="0"/>
              <w:right w:val="single" w:color="auto" w:sz="4" w:space="0"/>
            </w:tcBorders>
            <w:vAlign w:val="center"/>
          </w:tcPr>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1.根据投标人针对招标文件服务要求所做的承诺，逐条响应的得3分。如有一条未完全响应或服务承诺不完整或表述不清的扣0.5分，扣完为止。</w:t>
            </w:r>
          </w:p>
          <w:p>
            <w:pPr>
              <w:spacing w:line="360" w:lineRule="auto"/>
              <w:textAlignment w:val="baseline"/>
              <w:rPr>
                <w:rFonts w:ascii="Times New Roman" w:hAnsi="Times New Roman" w:eastAsia="宋体" w:cs="仿宋"/>
                <w:szCs w:val="21"/>
              </w:rPr>
            </w:pPr>
            <w:r>
              <w:rPr>
                <w:rFonts w:hint="eastAsia" w:ascii="Times New Roman" w:hAnsi="Times New Roman" w:eastAsia="宋体" w:cs="仿宋"/>
                <w:szCs w:val="21"/>
              </w:rPr>
              <w:t>2.根据投标人的培训方案（培训计划、培训课程、授课人员、培训对象与人数、培训地点、培训时间等），优者得2分，良者得1分，一般者不得分。</w:t>
            </w:r>
          </w:p>
        </w:tc>
        <w:tc>
          <w:tcPr>
            <w:tcW w:w="674" w:type="dxa"/>
            <w:tcBorders>
              <w:top w:val="single" w:color="auto" w:sz="4" w:space="0"/>
              <w:left w:val="nil"/>
              <w:bottom w:val="single" w:color="auto" w:sz="4" w:space="0"/>
              <w:right w:val="single" w:color="auto" w:sz="4" w:space="0"/>
            </w:tcBorders>
            <w:vAlign w:val="center"/>
          </w:tcPr>
          <w:p>
            <w:pPr>
              <w:spacing w:line="360" w:lineRule="auto"/>
              <w:ind w:firstLine="105" w:firstLineChars="50"/>
              <w:textAlignment w:val="baseline"/>
              <w:rPr>
                <w:rFonts w:ascii="Times New Roman" w:hAnsi="Times New Roman" w:eastAsia="宋体" w:cs="仿宋"/>
                <w:szCs w:val="21"/>
              </w:rPr>
            </w:pPr>
            <w:r>
              <w:rPr>
                <w:rFonts w:hint="eastAsia" w:ascii="Times New Roman" w:hAnsi="Times New Roman" w:eastAsia="宋体" w:cs="仿宋"/>
                <w:szCs w:val="21"/>
              </w:rPr>
              <w:t>5</w:t>
            </w:r>
          </w:p>
        </w:tc>
      </w:tr>
      <w:tr>
        <w:tblPrEx>
          <w:tblCellMar>
            <w:top w:w="0" w:type="dxa"/>
            <w:left w:w="108" w:type="dxa"/>
            <w:bottom w:w="0" w:type="dxa"/>
            <w:right w:w="108" w:type="dxa"/>
          </w:tblCellMar>
        </w:tblPrEx>
        <w:trPr>
          <w:trHeight w:val="260" w:hRule="atLeast"/>
        </w:trPr>
        <w:tc>
          <w:tcPr>
            <w:tcW w:w="918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合计</w:t>
            </w:r>
          </w:p>
        </w:tc>
        <w:tc>
          <w:tcPr>
            <w:tcW w:w="674" w:type="dxa"/>
            <w:tcBorders>
              <w:top w:val="single" w:color="auto" w:sz="4" w:space="0"/>
              <w:left w:val="nil"/>
              <w:bottom w:val="single" w:color="auto" w:sz="4" w:space="0"/>
              <w:right w:val="single" w:color="auto" w:sz="4" w:space="0"/>
            </w:tcBorders>
            <w:vAlign w:val="center"/>
          </w:tcPr>
          <w:p>
            <w:pPr>
              <w:spacing w:line="360" w:lineRule="auto"/>
              <w:jc w:val="center"/>
              <w:textAlignment w:val="baseline"/>
              <w:rPr>
                <w:rFonts w:ascii="Times New Roman" w:hAnsi="Times New Roman" w:eastAsia="宋体" w:cs="仿宋"/>
                <w:sz w:val="20"/>
                <w:szCs w:val="21"/>
              </w:rPr>
            </w:pPr>
            <w:r>
              <w:rPr>
                <w:rFonts w:hint="eastAsia" w:ascii="Times New Roman" w:hAnsi="Times New Roman" w:eastAsia="宋体" w:cs="仿宋"/>
                <w:szCs w:val="21"/>
              </w:rPr>
              <w:t>70</w:t>
            </w:r>
          </w:p>
        </w:tc>
      </w:tr>
    </w:tbl>
    <w:p>
      <w:pPr>
        <w:spacing w:line="360" w:lineRule="auto"/>
        <w:ind w:firstLine="482" w:firstLineChars="200"/>
        <w:textAlignment w:val="baseline"/>
        <w:rPr>
          <w:rFonts w:ascii="Times New Roman" w:hAnsi="Times New Roman" w:eastAsia="宋体" w:cs="宋体"/>
          <w:b/>
          <w:sz w:val="24"/>
          <w:szCs w:val="24"/>
        </w:rPr>
      </w:pPr>
      <w:r>
        <w:rPr>
          <w:rFonts w:hint="eastAsia" w:ascii="Times New Roman" w:hAnsi="Times New Roman" w:eastAsia="宋体" w:cs="宋体"/>
          <w:b/>
          <w:sz w:val="24"/>
          <w:szCs w:val="24"/>
        </w:rPr>
        <w:t>注：以上证明材料提供原件复印件并将原件带至开标现场备查，未携带原件或因携带原件不全所引起的后果由投标供应商自行承担。</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（二）报价分：（30分）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r>
        <w:rPr>
          <w:rFonts w:hint="eastAsia" w:ascii="Times New Roman" w:hAnsi="Times New Roman" w:eastAsia="宋体" w:cs="宋体"/>
          <w:b/>
          <w:sz w:val="24"/>
          <w:szCs w:val="24"/>
        </w:rPr>
        <w:t>本次项目最高限价：18</w:t>
      </w:r>
      <w:r>
        <w:rPr>
          <w:rFonts w:hint="eastAsia" w:ascii="Times New Roman" w:hAnsi="Times New Roman" w:eastAsia="宋体" w:cs="Arial"/>
          <w:b/>
          <w:bCs/>
          <w:kern w:val="0"/>
          <w:sz w:val="24"/>
        </w:rPr>
        <w:t>万元</w:t>
      </w:r>
      <w:r>
        <w:rPr>
          <w:rFonts w:hint="eastAsia" w:ascii="Times New Roman" w:hAnsi="Times New Roman" w:eastAsia="宋体" w:cs="宋体"/>
          <w:b/>
          <w:sz w:val="24"/>
          <w:szCs w:val="24"/>
        </w:rPr>
        <w:t>，超过限价作无效标处理</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2、满足磋商文件要求且最后报价最低的供应商的价格为磋商基准价，其报价分为满分。其他供应商的报价分统一按照下列公式计算：</w:t>
      </w:r>
    </w:p>
    <w:p>
      <w:pPr>
        <w:spacing w:line="360" w:lineRule="auto"/>
        <w:ind w:firstLine="482" w:firstLineChars="200"/>
        <w:textAlignment w:val="baseline"/>
        <w:rPr>
          <w:rFonts w:ascii="Times New Roman" w:hAnsi="Times New Roman" w:eastAsia="宋体" w:cs="宋体"/>
          <w:sz w:val="24"/>
          <w:szCs w:val="24"/>
        </w:rPr>
      </w:pPr>
      <w:r>
        <w:rPr>
          <w:rFonts w:hint="eastAsia" w:ascii="Times New Roman" w:hAnsi="Times New Roman" w:eastAsia="宋体" w:cs="宋体"/>
          <w:b/>
          <w:sz w:val="24"/>
          <w:szCs w:val="24"/>
        </w:rPr>
        <w:t>报价分 =（磋商基准价/最后磋商报价）×30%×100</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五、出现下列情形之一的，作无效标处理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1、未按规定时间、数额、规定形式提交磋商保证金的；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2、响应文件未按规定要求装订、密封、签署、盖章及主要资料不齐全的；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3、响应文件的资料有虚报或者谎报的；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4、响应文件中资格审查文件及技术响应文件出现磋商报价的内容；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5、不具备磋商文件规定的资格要求的；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6、响应文件有重大漏项或重大不合理的；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7、项目技术、方案不满足项目需求中的要求，有重大偏离或保留的；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8、磋商响应报价超出项目预算的；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9、被认定为低于成本报价磋商竞标的；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10、供应商的磋商报价高于自己前一轮的；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11、不符合法律、法规和磋商文件中规定的其他实质性响应要求的；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12、磋商小组依据法律法规可以认定为无效投标的其他情况；</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13、未按要求提供样品的</w:t>
      </w:r>
      <w:r>
        <w:rPr>
          <w:rFonts w:hint="eastAsia" w:ascii="Times New Roman" w:hAnsi="Times New Roman" w:eastAsia="宋体" w:cs="宋体"/>
          <w:color w:val="000000" w:themeColor="text1"/>
          <w:sz w:val="24"/>
          <w:szCs w:val="24"/>
        </w:rPr>
        <w:t>（如有）</w:t>
      </w:r>
      <w:r>
        <w:rPr>
          <w:rFonts w:hint="eastAsia" w:ascii="Times New Roman" w:hAnsi="Times New Roman" w:eastAsia="宋体" w:cs="宋体"/>
          <w:sz w:val="24"/>
          <w:szCs w:val="24"/>
        </w:rPr>
        <w:t>。</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六、出现下列情形之一的，作废标处理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1、供应商的报价均超出了采购预算，采购单位不能支付的；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2、因情况变化，不再符合规定的竞争性磋商采购方式所适用情形的；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3、出现影响采购公正的违法、违规行为的；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4、因重大变故，采购任务取消的；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5、供应商未按采购文件要求提供样品或样品提供不全的或未提供样品的（如有）；</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6、磋商小组依据法律法规可以认定为废标的其他情况。</w:t>
      </w:r>
    </w:p>
    <w:p>
      <w:pPr>
        <w:pStyle w:val="16"/>
        <w:widowControl/>
        <w:shd w:val="clear" w:color="auto" w:fill="FFFFFF"/>
        <w:spacing w:before="0" w:beforeAutospacing="0" w:after="0" w:afterAutospacing="0" w:line="360" w:lineRule="auto"/>
        <w:ind w:firstLine="482" w:firstLineChars="200"/>
        <w:jc w:val="both"/>
        <w:textAlignment w:val="baseline"/>
        <w:rPr>
          <w:rFonts w:ascii="Times New Roman" w:hAnsi="Times New Roman" w:cs="宋体"/>
          <w:b/>
          <w:bCs/>
          <w:szCs w:val="24"/>
          <w:shd w:val="clear" w:color="auto" w:fill="FFFFFF"/>
        </w:rPr>
      </w:pPr>
      <w:r>
        <w:rPr>
          <w:rFonts w:hint="eastAsia" w:ascii="Times New Roman" w:hAnsi="Times New Roman" w:cs="宋体"/>
          <w:b/>
          <w:bCs/>
          <w:szCs w:val="24"/>
          <w:shd w:val="clear" w:color="auto" w:fill="FFFFFF"/>
        </w:rPr>
        <w:t>七、成交通知</w:t>
      </w:r>
    </w:p>
    <w:p>
      <w:pPr>
        <w:spacing w:line="360" w:lineRule="auto"/>
        <w:ind w:firstLine="480" w:firstLineChars="200"/>
        <w:textAlignment w:val="baseline"/>
        <w:rPr>
          <w:rFonts w:ascii="Times New Roman" w:hAnsi="Times New Roman" w:eastAsia="宋体" w:cs="宋体"/>
          <w:kern w:val="0"/>
          <w:sz w:val="24"/>
          <w:szCs w:val="24"/>
        </w:rPr>
      </w:pPr>
      <w:r>
        <w:rPr>
          <w:rFonts w:hint="eastAsia" w:ascii="Times New Roman" w:hAnsi="Times New Roman" w:eastAsia="宋体" w:cs="宋体"/>
          <w:kern w:val="0"/>
          <w:sz w:val="24"/>
          <w:szCs w:val="24"/>
        </w:rPr>
        <w:t>成交结果在南通市第三人民医院官网公示</w:t>
      </w:r>
      <w:r>
        <w:rPr>
          <w:rFonts w:hint="eastAsia" w:ascii="Times New Roman" w:hAnsi="Times New Roman" w:eastAsia="宋体" w:cs="宋体"/>
          <w:b/>
          <w:kern w:val="0"/>
          <w:sz w:val="24"/>
          <w:szCs w:val="24"/>
          <w:u w:val="single"/>
        </w:rPr>
        <w:t>1</w:t>
      </w:r>
      <w:r>
        <w:rPr>
          <w:rFonts w:hint="eastAsia" w:ascii="Times New Roman" w:hAnsi="Times New Roman" w:eastAsia="宋体" w:cs="宋体"/>
          <w:kern w:val="0"/>
          <w:sz w:val="24"/>
          <w:szCs w:val="24"/>
        </w:rPr>
        <w:t>个工作日。《成交通知书》一经发出，采购单位改变成交结果，或者成交人放弃成交的，各自承担相应的法律责任。《成交通知书》是采购合同的组成部分。</w:t>
      </w: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第五章 合同授予</w:t>
      </w:r>
    </w:p>
    <w:p>
      <w:pPr>
        <w:spacing w:line="360" w:lineRule="auto"/>
        <w:ind w:firstLine="480" w:firstLineChars="200"/>
        <w:rPr>
          <w:rFonts w:ascii="Times New Roman" w:hAnsi="Times New Roman" w:eastAsia="宋体" w:cs="宋体"/>
          <w:kern w:val="0"/>
          <w:sz w:val="28"/>
          <w:szCs w:val="28"/>
        </w:rPr>
      </w:pPr>
      <w:r>
        <w:rPr>
          <w:rFonts w:hint="eastAsia" w:ascii="Times New Roman" w:hAnsi="Times New Roman" w:eastAsia="宋体" w:cs="宋体"/>
          <w:sz w:val="24"/>
        </w:rPr>
        <w:t>一、</w:t>
      </w:r>
      <w:r>
        <w:rPr>
          <w:rFonts w:hint="eastAsia" w:ascii="Times New Roman" w:hAnsi="Times New Roman" w:eastAsia="宋体" w:cs="宋体"/>
          <w:kern w:val="0"/>
          <w:sz w:val="24"/>
        </w:rPr>
        <w:t>成交供应商在《成交通知书》发出15日内须按照磋商文件确定的事项签订政府采购合同。合同一式四份，采购</w:t>
      </w:r>
      <w:r>
        <w:rPr>
          <w:rFonts w:hint="eastAsia" w:ascii="Times New Roman" w:hAnsi="Times New Roman" w:eastAsia="宋体" w:cs="宋体"/>
          <w:kern w:val="0"/>
          <w:sz w:val="24"/>
          <w:szCs w:val="24"/>
        </w:rPr>
        <w:t>单位</w:t>
      </w:r>
      <w:r>
        <w:rPr>
          <w:rFonts w:hint="eastAsia" w:ascii="Times New Roman" w:hAnsi="Times New Roman" w:eastAsia="宋体" w:cs="宋体"/>
          <w:kern w:val="0"/>
          <w:sz w:val="24"/>
        </w:rPr>
        <w:t xml:space="preserve">两份、供应商两份。所签合同不得对磋商文件作实质性修改。采购单位不得向成交供应商提出不合理的要求作为签订合同的条件，不得与成交供应商私下订立背离磋商文件实质性内容的协议。 </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 xml:space="preserve"> 二、采购单位按合同约定积极配合中标人履约，中标人履约到位后，请以书面形式向采购单位提出验收申请，采购</w:t>
      </w:r>
      <w:r>
        <w:rPr>
          <w:rFonts w:hint="eastAsia" w:ascii="Times New Roman" w:hAnsi="Times New Roman" w:eastAsia="宋体" w:cs="宋体"/>
          <w:kern w:val="0"/>
          <w:sz w:val="24"/>
          <w:szCs w:val="24"/>
        </w:rPr>
        <w:t>单位</w:t>
      </w:r>
      <w:r>
        <w:rPr>
          <w:rFonts w:hint="eastAsia" w:ascii="Times New Roman" w:hAnsi="Times New Roman" w:eastAsia="宋体" w:cs="宋体"/>
          <w:sz w:val="24"/>
        </w:rPr>
        <w:t>接到申请后原则上在5个工作日内及时组织相关专业技术人员，必要时邀请质检等部门共同参与验收，并出具验收报告，验收合格的原则上5个工作日内支付相应款项。</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三、采购单位故意推迟</w:t>
      </w:r>
      <w:r>
        <w:rPr>
          <w:rFonts w:hint="eastAsia" w:ascii="Times New Roman" w:hAnsi="Times New Roman" w:eastAsia="宋体" w:cs="宋体"/>
          <w:kern w:val="0"/>
          <w:sz w:val="24"/>
          <w:szCs w:val="24"/>
        </w:rPr>
        <w:t>项目</w:t>
      </w:r>
      <w:r>
        <w:rPr>
          <w:rFonts w:hint="eastAsia" w:ascii="Times New Roman" w:hAnsi="Times New Roman" w:eastAsia="宋体" w:cs="宋体"/>
          <w:sz w:val="24"/>
        </w:rPr>
        <w:t>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四、中标人出现违约情形，应当及时纠正或补偿；造成损失的，按合同约定追究违约责任；发现有假冒、伪劣、走私产品、商业贿赂等违法情形的，应由采购单位移交工商、质监、公安等行政执法部门依法查处。</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五、按政府采购合同</w:t>
      </w:r>
      <w:r>
        <w:rPr>
          <w:rFonts w:hint="eastAsia" w:ascii="Times New Roman" w:hAnsi="Times New Roman" w:eastAsia="宋体" w:cs="宋体"/>
          <w:kern w:val="0"/>
          <w:sz w:val="24"/>
        </w:rPr>
        <w:t>约定</w:t>
      </w:r>
      <w:r>
        <w:rPr>
          <w:rFonts w:hint="eastAsia" w:ascii="Times New Roman" w:hAnsi="Times New Roman" w:eastAsia="宋体" w:cs="宋体"/>
          <w:sz w:val="24"/>
        </w:rPr>
        <w:t>支付的货款，实行财政国库直接支付。</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六、不响应付款方式的，视同响应文件无效，按无效响应文件处理。</w:t>
      </w:r>
    </w:p>
    <w:p>
      <w:pPr>
        <w:spacing w:line="360" w:lineRule="auto"/>
        <w:ind w:firstLine="480" w:firstLineChars="200"/>
        <w:rPr>
          <w:rFonts w:ascii="Times New Roman" w:hAnsi="Times New Roman" w:eastAsia="宋体" w:cs="宋体"/>
          <w:sz w:val="24"/>
        </w:rPr>
      </w:pPr>
      <w:r>
        <w:rPr>
          <w:rFonts w:hint="eastAsia" w:ascii="Times New Roman" w:hAnsi="Times New Roman" w:eastAsia="宋体" w:cs="宋体"/>
          <w:sz w:val="24"/>
        </w:rPr>
        <w:t>七、付款方式详见</w:t>
      </w:r>
      <w:r>
        <w:rPr>
          <w:rFonts w:hint="eastAsia" w:ascii="Times New Roman" w:hAnsi="Times New Roman" w:eastAsia="宋体" w:cs="宋体"/>
          <w:kern w:val="0"/>
          <w:sz w:val="24"/>
        </w:rPr>
        <w:t>磋商</w:t>
      </w:r>
      <w:r>
        <w:rPr>
          <w:rFonts w:hint="eastAsia" w:ascii="Times New Roman" w:hAnsi="Times New Roman" w:eastAsia="宋体" w:cs="宋体"/>
          <w:sz w:val="24"/>
        </w:rPr>
        <w:t>文件第三章。</w:t>
      </w:r>
    </w:p>
    <w:p>
      <w:pPr>
        <w:spacing w:line="360" w:lineRule="auto"/>
        <w:ind w:firstLine="480" w:firstLineChars="200"/>
        <w:rPr>
          <w:rFonts w:ascii="Times New Roman" w:hAnsi="Times New Roman" w:eastAsia="宋体" w:cs="宋体"/>
          <w:b/>
          <w:iCs/>
          <w:color w:val="000000" w:themeColor="text1"/>
          <w:w w:val="80"/>
          <w:sz w:val="44"/>
          <w:szCs w:val="44"/>
        </w:rPr>
      </w:pPr>
      <w:r>
        <w:rPr>
          <w:rFonts w:hint="eastAsia" w:ascii="Times New Roman" w:hAnsi="Times New Roman" w:eastAsia="宋体" w:cs="宋体"/>
          <w:sz w:val="24"/>
        </w:rPr>
        <w:t>八、以上项目款的支付不计息。</w:t>
      </w:r>
    </w:p>
    <w:p>
      <w:pPr>
        <w:rPr>
          <w:rFonts w:ascii="Times New Roman" w:hAnsi="Times New Roman" w:eastAsia="宋体"/>
          <w:w w:val="80"/>
          <w:kern w:val="44"/>
        </w:rPr>
      </w:pPr>
    </w:p>
    <w:p>
      <w:pPr>
        <w:widowControl/>
        <w:jc w:val="left"/>
        <w:rPr>
          <w:rFonts w:ascii="Times New Roman" w:hAnsi="Times New Roman" w:eastAsia="宋体" w:cs="宋体"/>
          <w:b/>
          <w:w w:val="80"/>
          <w:kern w:val="44"/>
          <w:sz w:val="48"/>
          <w:szCs w:val="44"/>
        </w:rPr>
      </w:pPr>
      <w:r>
        <w:rPr>
          <w:rFonts w:ascii="Times New Roman" w:hAnsi="Times New Roman" w:eastAsia="宋体" w:cs="宋体"/>
          <w:w w:val="80"/>
          <w:sz w:val="48"/>
          <w:szCs w:val="4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第六章 质疑提出和处理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一、质疑的提出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1、质疑人必须是直接参加本次磋商活动的当事人。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下载磋商文件的供应商应根据第二章“投标供应商须知”中第一条第4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对不能提供相关佐证材料的、涉及商业秘密的、非书面形式的、非送达的、匿名的《质疑函》将不予受理。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相关佐证材料要具备客观性、关联性、合法性，无法查实的（如宣传册、媒体报道、猜测、推理等）不能作为佐证材料。</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采购单位或采购代理机构不负责搜集相关佐证材料等工作。</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二、《质疑函》的受理和回复</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1、《质疑函》须由质疑人的法定代表人或参加本次磋商被授权人送达采购单位和采购代理机构。</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3、对不符合提出质疑要求的，出具《质疑退回通知书》并提出相关补充材料要求，质疑人未在规定的时间内提供补充佐证材料的，视同放弃质疑。</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4、采购单位、采购代理机构负责将质疑人提出的质疑相关材料提供给相关专家或评审小组审核，并将审核意见回复质疑人。</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5、因质疑情况复杂，组织论证或审查时间较长的，采购单位、采购代理机构以书面形式通知质疑人，可适当延长质疑回复处理时间。</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三、质疑处理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1、质疑成立的处理。采购单位或采购代理机构终止采购，并建议有关部门给相关当事人予以处理。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2、质疑不成立的处理。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1）质疑人书面《申请撤回质疑函》的，不作违约处理。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2）质疑人在规定的时间内不配合进行质疑调查处理的，按自动撤回《质疑函》处理。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3）质疑人不按《质疑函》格式就提出质疑的，作违约处理。同时，视情列入不良供应商名单。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4）质疑人虽提供了相关佐证材料，但不能证明其质疑成立的，采购单位或采购代理机构请质疑人补充相关佐证材料，仍不能证明其质疑成立的，作违约处理。并将其列入不良供应商名单。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5）质疑人不能提供相关佐证材料的，采购单位、采购代理机构已指出，质疑人仍然坚持提出质疑的，作违约处理。同时，列入不良供应商名单。</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6）对明显有违事实的、经相关专家或评审小组认定无依据的、经其他供应商举证无依据的质疑，作违约处理，列入不良供应商名单；同时，对其中每一项不成立的质疑给予质疑人1年内禁入本区域内的政府采购活动的违约处理，依次类推；视情在南通政府采购网、省、国家级相关媒体予以披露。</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7）质疑人承担使用虚假材料或恶意方式质疑的法律责任。</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四、无佐证材料的举报作违约处理。供应商不得进行不提供相关佐证材料（含无法查实的如宣传册、媒体报道、猜测、推理等）向有关部门的举报，否则作违约处理。同时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五、投诉不成立的作违约处理。供应商进行质疑后，采购单位回复质疑不成立，供应商仍进行投诉的，并最终投诉不成立的，作违约处理。采购单位有权对其在1至3年内禁入由采购单位组织的政府采购活动的违约处理。</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六、《质疑函》、《质疑回复函》，质疑、举报、投诉不成立的等相关情况，视情在南通政府采购网、省、国家级等相关媒体予以披露。并建议相关政府采购机构对该供应商同步实施1至3年内禁入。</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七、质疑供应商对采购单位或代理机构的答复不满意或者采购单位或代理机构未在规定的时间内作出答复的，可以在答复期满后15个工作日内向政府采购监督管理部门投诉。</w:t>
      </w:r>
    </w:p>
    <w:p>
      <w:pPr>
        <w:widowControl/>
        <w:spacing w:line="360" w:lineRule="auto"/>
        <w:jc w:val="left"/>
        <w:rPr>
          <w:rFonts w:ascii="Times New Roman" w:hAnsi="Times New Roman" w:eastAsia="宋体" w:cs="宋体"/>
          <w:sz w:val="24"/>
          <w:szCs w:val="24"/>
        </w:rPr>
      </w:pPr>
      <w:r>
        <w:rPr>
          <w:rFonts w:ascii="Times New Roman" w:hAnsi="Times New Roman" w:eastAsia="宋体" w:cs="宋体"/>
          <w:sz w:val="24"/>
          <w:szCs w:val="24"/>
        </w:rPr>
        <w:br w:type="page"/>
      </w:r>
    </w:p>
    <w:p>
      <w:pPr>
        <w:pStyle w:val="4"/>
        <w:keepNext w:val="0"/>
        <w:keepLines w:val="0"/>
        <w:spacing w:before="0" w:after="0" w:line="720" w:lineRule="auto"/>
        <w:jc w:val="center"/>
        <w:textAlignment w:val="baseline"/>
        <w:rPr>
          <w:rFonts w:ascii="Times New Roman" w:hAnsi="Times New Roman" w:eastAsia="宋体" w:cs="宋体"/>
          <w:w w:val="80"/>
          <w:sz w:val="48"/>
          <w:szCs w:val="44"/>
        </w:rPr>
      </w:pPr>
      <w:r>
        <w:rPr>
          <w:rFonts w:hint="eastAsia" w:ascii="Times New Roman" w:hAnsi="Times New Roman" w:eastAsia="宋体" w:cs="宋体"/>
          <w:w w:val="80"/>
          <w:sz w:val="48"/>
          <w:szCs w:val="44"/>
        </w:rPr>
        <w:t>第七章 响应文件组成及格式</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pacing w:line="360" w:lineRule="auto"/>
        <w:ind w:firstLine="482" w:firstLineChars="200"/>
        <w:jc w:val="left"/>
        <w:textAlignment w:val="baseline"/>
        <w:rPr>
          <w:rFonts w:ascii="Times New Roman" w:hAnsi="Times New Roman" w:eastAsia="宋体" w:cs="宋体"/>
          <w:b/>
          <w:bCs/>
          <w:kern w:val="0"/>
          <w:sz w:val="24"/>
          <w:lang w:val="zh-CN"/>
        </w:rPr>
      </w:pPr>
      <w:r>
        <w:rPr>
          <w:rFonts w:hint="eastAsia" w:ascii="Times New Roman" w:hAnsi="Times New Roman" w:eastAsia="宋体" w:cs="宋体"/>
          <w:b/>
          <w:bCs/>
          <w:kern w:val="0"/>
          <w:sz w:val="24"/>
          <w:lang w:val="zh-CN"/>
        </w:rPr>
        <w:t>一、资格审查文件（单独密封）：</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1、提供供应商的《营业执照》（副本）及《税务登记证》（副本）（或提供新版“三证合一”具有统一社会信用代码的营业执照）原件的复印件（须加盖公章）；</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如为法定代表人参加磋商的，必须提供法定代表人身份证明及本人身份证原件的复印件。如为被委托授权人参加投标的，还须提供法人代表签名或盖章的授权委托书及被委托授权人身份证的这两项原件的复印件（须加盖公章）（</w:t>
      </w:r>
      <w:r>
        <w:rPr>
          <w:rFonts w:hint="eastAsia" w:ascii="Times New Roman" w:hAnsi="Times New Roman" w:eastAsia="宋体" w:cs="宋体"/>
          <w:sz w:val="24"/>
          <w:szCs w:val="24"/>
        </w:rPr>
        <w:t>格式参见附件）</w:t>
      </w:r>
      <w:r>
        <w:rPr>
          <w:rFonts w:hint="eastAsia"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3、投标供应商符合《中华人民共和国政府采购法》第二十二条规定条件的承诺函（格式参见附件）；</w:t>
      </w:r>
      <w:r>
        <w:rPr>
          <w:rFonts w:ascii="Times New Roman" w:hAnsi="Times New Roman" w:eastAsia="宋体"/>
          <w:sz w:val="24"/>
          <w:szCs w:val="24"/>
        </w:rPr>
        <w:t xml:space="preserve"> </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4、投标供应商须提供诚信承诺书（</w:t>
      </w:r>
      <w:r>
        <w:rPr>
          <w:rFonts w:hint="eastAsia" w:ascii="Times New Roman" w:hAnsi="Times New Roman" w:eastAsia="宋体" w:cs="宋体"/>
          <w:sz w:val="24"/>
          <w:szCs w:val="24"/>
        </w:rPr>
        <w:t>格式参见附件）；</w:t>
      </w:r>
    </w:p>
    <w:p>
      <w:pPr>
        <w:spacing w:line="360" w:lineRule="auto"/>
        <w:ind w:firstLine="482" w:firstLineChars="200"/>
        <w:jc w:val="left"/>
        <w:textAlignment w:val="baseline"/>
        <w:rPr>
          <w:rFonts w:ascii="Times New Roman" w:hAnsi="Times New Roman" w:eastAsia="宋体"/>
          <w:b/>
          <w:sz w:val="24"/>
          <w:szCs w:val="24"/>
        </w:rPr>
      </w:pPr>
      <w:r>
        <w:rPr>
          <w:rFonts w:hint="eastAsia" w:ascii="Times New Roman" w:hAnsi="Times New Roman" w:eastAsia="宋体"/>
          <w:b/>
          <w:sz w:val="24"/>
          <w:szCs w:val="24"/>
        </w:rPr>
        <w:t>以上材料如为复印件均需加盖投标单位公章。</w:t>
      </w:r>
    </w:p>
    <w:p>
      <w:pPr>
        <w:spacing w:line="360" w:lineRule="auto"/>
        <w:ind w:firstLine="482" w:firstLineChars="200"/>
        <w:textAlignment w:val="baseline"/>
        <w:rPr>
          <w:rFonts w:ascii="Times New Roman" w:hAnsi="Times New Roman" w:eastAsia="宋体"/>
          <w:b/>
          <w:bCs/>
          <w:sz w:val="24"/>
          <w:szCs w:val="24"/>
        </w:rPr>
      </w:pPr>
      <w:r>
        <w:rPr>
          <w:rFonts w:hint="eastAsia" w:ascii="Times New Roman" w:hAnsi="Times New Roman" w:eastAsia="宋体"/>
          <w:b/>
          <w:bCs/>
          <w:sz w:val="24"/>
          <w:szCs w:val="24"/>
        </w:rPr>
        <w:t>二、技术响应文件（单独密封）：</w:t>
      </w:r>
    </w:p>
    <w:p>
      <w:pPr>
        <w:spacing w:line="360" w:lineRule="auto"/>
        <w:ind w:firstLine="480" w:firstLineChars="200"/>
        <w:jc w:val="left"/>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1、磋商文件中评分标准所涉及的事项需提供的所有资料；</w:t>
      </w:r>
    </w:p>
    <w:p>
      <w:pPr>
        <w:spacing w:line="360" w:lineRule="auto"/>
        <w:ind w:firstLine="480" w:firstLineChars="200"/>
        <w:textAlignment w:val="baseline"/>
        <w:rPr>
          <w:rFonts w:ascii="Times New Roman" w:hAnsi="Times New Roman" w:eastAsia="宋体" w:cs="宋体"/>
          <w:bCs/>
          <w:sz w:val="24"/>
          <w:szCs w:val="24"/>
        </w:rPr>
      </w:pPr>
      <w:r>
        <w:rPr>
          <w:rFonts w:hint="eastAsia" w:ascii="Times New Roman" w:hAnsi="Times New Roman" w:eastAsia="宋体" w:cs="宋体"/>
          <w:bCs/>
          <w:sz w:val="24"/>
          <w:szCs w:val="24"/>
        </w:rPr>
        <w:t>2、磋商文件中未涉及的事项，投标供应商认为需要提交的其他资料。</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特别提醒：“资格审查文件”、“技术响应文件”所须提供的材料按磋商文件要求装订，密封，递交。“资格审查文件”、“技术响应文件”涉及的相关原件请带至开标现场备查。未携带原件或因携带原件不全所引起的后果由投标人自行承担。</w:t>
      </w:r>
    </w:p>
    <w:p>
      <w:pPr>
        <w:spacing w:line="360" w:lineRule="auto"/>
        <w:ind w:firstLine="482" w:firstLineChars="200"/>
        <w:jc w:val="left"/>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三、报价响应文件（单独密封）</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1、竞争性磋商响应函（格式参见附件）；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2、磋商响应报价表（格式参见附件）；</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3、磋商响应报价明细表（格式自拟）；</w:t>
      </w:r>
    </w:p>
    <w:p>
      <w:pPr>
        <w:spacing w:line="360" w:lineRule="auto"/>
        <w:ind w:firstLine="480" w:firstLineChars="200"/>
        <w:textAlignment w:val="baseline"/>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left"/>
        <w:textAlignment w:val="baseline"/>
        <w:rPr>
          <w:rFonts w:ascii="Times New Roman" w:hAnsi="Times New Roman" w:eastAsia="宋体"/>
          <w:b/>
          <w:sz w:val="24"/>
        </w:rPr>
      </w:pPr>
      <w:r>
        <w:rPr>
          <w:rFonts w:hint="eastAsia" w:ascii="Times New Roman" w:hAnsi="Times New Roman" w:eastAsia="宋体"/>
          <w:b/>
          <w:sz w:val="24"/>
          <w:szCs w:val="24"/>
        </w:rPr>
        <w:t>附件:</w:t>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1、法定代表人身份证明</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（法定代表人参加投标，须出示此证明）</w:t>
      </w:r>
    </w:p>
    <w:p>
      <w:pPr>
        <w:spacing w:line="360" w:lineRule="auto"/>
        <w:jc w:val="center"/>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我公司法定代表人</w:t>
      </w:r>
      <w:r>
        <w:rPr>
          <w:rFonts w:hint="eastAsia" w:ascii="Times New Roman" w:hAnsi="Times New Roman" w:eastAsia="宋体" w:cs="宋体"/>
          <w:sz w:val="24"/>
          <w:szCs w:val="24"/>
          <w:u w:val="single"/>
        </w:rPr>
        <w:t>　　　</w:t>
      </w:r>
      <w:r>
        <w:rPr>
          <w:rFonts w:hint="eastAsia" w:ascii="Times New Roman" w:hAnsi="Times New Roman" w:eastAsia="宋体" w:cs="宋体"/>
          <w:sz w:val="24"/>
          <w:szCs w:val="24"/>
        </w:rPr>
        <w:t>参加贵单位组织的</w:t>
      </w:r>
      <w:r>
        <w:rPr>
          <w:rFonts w:hint="eastAsia" w:ascii="Times New Roman" w:hAnsi="Times New Roman" w:eastAsia="宋体"/>
          <w:sz w:val="24"/>
          <w:szCs w:val="24"/>
          <w:u w:val="single"/>
        </w:rPr>
        <w:t>南通市第三人民医院艾滋病精细化管理系统采购项目</w:t>
      </w:r>
      <w:r>
        <w:rPr>
          <w:rFonts w:hint="eastAsia" w:ascii="Times New Roman" w:hAnsi="Times New Roman" w:eastAsia="宋体" w:cs="宋体"/>
          <w:sz w:val="24"/>
          <w:szCs w:val="24"/>
        </w:rPr>
        <w:t>（竞争性磋商项目名称)项目的磋商活动，全权代表我公司处理该磋商活动的有关事宜。</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附：法定代表人情况：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2280" w:firstLineChars="9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ind w:firstLine="482" w:firstLineChars="200"/>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注:参加磋商活动时法定代表人将身份证原件带至开标现场备查。</w:t>
      </w:r>
    </w:p>
    <w:p>
      <w:pPr>
        <w:widowControl/>
        <w:spacing w:line="360" w:lineRule="auto"/>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spacing w:line="360" w:lineRule="auto"/>
        <w:jc w:val="center"/>
        <w:textAlignment w:val="baseline"/>
        <w:rPr>
          <w:rFonts w:ascii="Times New Roman" w:hAnsi="Times New Roman" w:eastAsia="宋体"/>
          <w:sz w:val="20"/>
        </w:rPr>
      </w:pPr>
      <w:r>
        <w:rPr>
          <w:rFonts w:hint="eastAsia" w:ascii="Times New Roman" w:hAnsi="Times New Roman" w:eastAsia="宋体"/>
          <w:b/>
          <w:sz w:val="24"/>
          <w:szCs w:val="24"/>
        </w:rPr>
        <w:t>2、授权委托书</w:t>
      </w:r>
    </w:p>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（委托代理人参加投标，须出示此证明）</w:t>
      </w:r>
    </w:p>
    <w:p>
      <w:pPr>
        <w:spacing w:line="360" w:lineRule="auto"/>
        <w:textAlignment w:val="baseline"/>
        <w:rPr>
          <w:rFonts w:ascii="Times New Roman" w:hAnsi="Times New Roman" w:eastAsia="宋体" w:cs="宋体"/>
          <w:bCs/>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left="1" w:firstLine="480" w:firstLineChars="2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兹授权</w:t>
      </w:r>
      <w:r>
        <w:rPr>
          <w:rFonts w:hint="eastAsia" w:ascii="Times New Roman" w:hAnsi="Times New Roman" w:eastAsia="宋体" w:cs="宋体"/>
          <w:sz w:val="24"/>
          <w:szCs w:val="24"/>
          <w:u w:val="single"/>
        </w:rPr>
        <w:t>（</w:t>
      </w:r>
      <w:r>
        <w:rPr>
          <w:rFonts w:hint="eastAsia" w:ascii="Times New Roman" w:hAnsi="Times New Roman" w:eastAsia="宋体" w:cs="宋体"/>
          <w:sz w:val="24"/>
          <w:szCs w:val="24"/>
        </w:rPr>
        <w:t>被授权人的姓名）代表我公司参加</w:t>
      </w:r>
      <w:r>
        <w:rPr>
          <w:rFonts w:hint="eastAsia" w:ascii="Times New Roman" w:hAnsi="Times New Roman" w:eastAsia="宋体"/>
          <w:sz w:val="24"/>
          <w:szCs w:val="24"/>
          <w:u w:val="single"/>
        </w:rPr>
        <w:t>南通市第三人民医院艾滋病精细化管理系统采购项目</w:t>
      </w:r>
      <w:r>
        <w:rPr>
          <w:rFonts w:hint="eastAsia" w:ascii="Times New Roman" w:hAnsi="Times New Roman" w:eastAsia="宋体" w:cs="宋体"/>
          <w:sz w:val="24"/>
          <w:szCs w:val="24"/>
        </w:rPr>
        <w:t>（竞争性磋商项目名称)项目的磋商活动，全权处理一切与该项目磋商有关的事务。其在办理上述事宜过程中所签署的所有文件我公司均予以承认。</w:t>
      </w:r>
    </w:p>
    <w:p>
      <w:pPr>
        <w:spacing w:line="360" w:lineRule="auto"/>
        <w:ind w:left="1"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被授权人无转委托权。特此委托。</w:t>
      </w:r>
    </w:p>
    <w:p>
      <w:pPr>
        <w:spacing w:line="360" w:lineRule="auto"/>
        <w:ind w:left="1" w:firstLine="480" w:firstLineChars="200"/>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附：被授权人情况：</w:t>
      </w:r>
    </w:p>
    <w:p>
      <w:pPr>
        <w:spacing w:line="360" w:lineRule="auto"/>
        <w:textAlignment w:val="baseline"/>
        <w:rPr>
          <w:rFonts w:ascii="Times New Roman" w:hAnsi="Times New Roman" w:eastAsia="宋体" w:cs="宋体"/>
          <w:sz w:val="24"/>
          <w:szCs w:val="24"/>
          <w:u w:val="single"/>
        </w:rPr>
      </w:pPr>
      <w:r>
        <w:rPr>
          <w:rFonts w:hint="eastAsia" w:ascii="Times New Roman" w:hAnsi="Times New Roman" w:eastAsia="宋体" w:cs="宋体"/>
          <w:sz w:val="24"/>
          <w:szCs w:val="24"/>
        </w:rPr>
        <w:t>姓名：性别：年龄：职务：</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身份证号码：</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手机：传真：</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 </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单位名称（公章）法定代表人（签字或盖章）</w:t>
      </w:r>
    </w:p>
    <w:p>
      <w:pPr>
        <w:spacing w:line="360" w:lineRule="auto"/>
        <w:ind w:firstLine="1200" w:firstLineChars="500"/>
        <w:textAlignment w:val="baseline"/>
        <w:rPr>
          <w:rFonts w:ascii="Times New Roman" w:hAnsi="Times New Roman" w:eastAsia="宋体" w:cs="宋体"/>
          <w:sz w:val="24"/>
          <w:szCs w:val="24"/>
        </w:rPr>
      </w:pPr>
      <w:r>
        <w:rPr>
          <w:rFonts w:hint="eastAsia" w:ascii="Times New Roman" w:hAnsi="Times New Roman" w:eastAsia="宋体" w:cs="宋体"/>
          <w:sz w:val="24"/>
          <w:szCs w:val="24"/>
        </w:rPr>
        <w:t>年月日年月日</w:t>
      </w:r>
    </w:p>
    <w:p>
      <w:pPr>
        <w:spacing w:line="360" w:lineRule="auto"/>
        <w:textAlignment w:val="baseline"/>
        <w:rPr>
          <w:rFonts w:ascii="Times New Roman" w:hAnsi="Times New Roman" w:eastAsia="宋体" w:cs="宋体"/>
          <w:sz w:val="24"/>
          <w:szCs w:val="24"/>
        </w:rPr>
      </w:pP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法定代表人身份证复印件</w:t>
      </w:r>
    </w:p>
    <w:p>
      <w:pPr>
        <w:spacing w:line="360" w:lineRule="auto"/>
        <w:textAlignment w:val="baseline"/>
        <w:rPr>
          <w:rFonts w:ascii="Times New Roman" w:hAnsi="Times New Roman" w:eastAsia="宋体" w:cs="宋体"/>
          <w:sz w:val="24"/>
          <w:szCs w:val="24"/>
        </w:rPr>
      </w:pPr>
    </w:p>
    <w:p>
      <w:pPr>
        <w:spacing w:line="360" w:lineRule="auto"/>
        <w:ind w:firstLine="3960" w:firstLineChars="1650"/>
        <w:textAlignment w:val="baseline"/>
        <w:rPr>
          <w:rFonts w:ascii="Times New Roman" w:hAnsi="Times New Roman" w:eastAsia="宋体" w:cs="宋体"/>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被授权人身份证复印件</w:t>
      </w:r>
    </w:p>
    <w:p>
      <w:pPr>
        <w:spacing w:line="360" w:lineRule="auto"/>
        <w:jc w:val="center"/>
        <w:textAlignment w:val="baseline"/>
        <w:rPr>
          <w:rFonts w:ascii="Times New Roman" w:hAnsi="Times New Roman" w:eastAsia="宋体" w:cs="宋体"/>
          <w:b/>
          <w:bCs/>
          <w:sz w:val="24"/>
          <w:szCs w:val="24"/>
        </w:rPr>
      </w:pPr>
      <w:r>
        <w:rPr>
          <w:rFonts w:hint="eastAsia" w:ascii="Times New Roman" w:hAnsi="Times New Roman" w:eastAsia="宋体" w:cs="宋体"/>
          <w:sz w:val="24"/>
          <w:szCs w:val="24"/>
        </w:rPr>
        <w:t>（粘贴此处）</w:t>
      </w:r>
    </w:p>
    <w:p>
      <w:pPr>
        <w:spacing w:line="360" w:lineRule="auto"/>
        <w:textAlignment w:val="baseline"/>
        <w:rPr>
          <w:rFonts w:ascii="Times New Roman" w:hAnsi="Times New Roman" w:eastAsia="宋体" w:cs="宋体"/>
          <w:b/>
          <w:bCs/>
          <w:sz w:val="24"/>
          <w:szCs w:val="24"/>
        </w:rPr>
      </w:pPr>
      <w:r>
        <w:rPr>
          <w:rFonts w:hint="eastAsia" w:ascii="Times New Roman" w:hAnsi="Times New Roman" w:eastAsia="宋体" w:cs="宋体"/>
          <w:b/>
          <w:bCs/>
          <w:sz w:val="24"/>
          <w:szCs w:val="24"/>
        </w:rPr>
        <w:t>注:参加磋商活动时被授权人将身份证原件带至开标现场备查。</w:t>
      </w:r>
    </w:p>
    <w:p>
      <w:pPr>
        <w:widowControl/>
        <w:spacing w:line="360" w:lineRule="auto"/>
        <w:jc w:val="left"/>
        <w:rPr>
          <w:rFonts w:ascii="Times New Roman" w:hAnsi="Times New Roman" w:eastAsia="宋体" w:cs="宋体"/>
          <w:sz w:val="24"/>
          <w:szCs w:val="24"/>
        </w:rPr>
      </w:pP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3、投标人符合《中华人民共和国政府采购法》第二十二条规定条件的承诺函</w:t>
      </w:r>
    </w:p>
    <w:p>
      <w:pPr>
        <w:snapToGrid w:val="0"/>
        <w:spacing w:line="360" w:lineRule="auto"/>
        <w:rPr>
          <w:rFonts w:ascii="Times New Roman" w:hAnsi="Times New Roman" w:eastAsia="宋体" w:cs="Times New Roman"/>
          <w:sz w:val="24"/>
          <w:szCs w:val="21"/>
          <w:u w:val="single"/>
        </w:rPr>
      </w:pPr>
    </w:p>
    <w:p>
      <w:pPr>
        <w:snapToGrid w:val="0"/>
        <w:spacing w:line="360" w:lineRule="auto"/>
        <w:rPr>
          <w:rFonts w:ascii="Times New Roman" w:hAnsi="Times New Roman" w:eastAsia="宋体" w:cs="Times New Roman"/>
          <w:bCs/>
          <w:sz w:val="24"/>
          <w:szCs w:val="21"/>
        </w:rPr>
      </w:pPr>
      <w:r>
        <w:rPr>
          <w:rFonts w:hint="eastAsia" w:ascii="Times New Roman" w:hAnsi="Times New Roman" w:eastAsia="宋体"/>
          <w:color w:val="000000" w:themeColor="text1"/>
          <w:sz w:val="24"/>
          <w:szCs w:val="24"/>
          <w:u w:val="single"/>
        </w:rPr>
        <w:t>南通市第三人民医院</w:t>
      </w:r>
      <w:r>
        <w:rPr>
          <w:rFonts w:ascii="Times New Roman" w:hAnsi="Times New Roman" w:eastAsia="宋体" w:cs="Times New Roman"/>
          <w:bCs/>
          <w:sz w:val="24"/>
          <w:szCs w:val="21"/>
        </w:rPr>
        <w:t>：</w:t>
      </w:r>
    </w:p>
    <w:p>
      <w:pPr>
        <w:spacing w:line="360" w:lineRule="auto"/>
        <w:ind w:firstLine="480" w:firstLineChars="200"/>
        <w:rPr>
          <w:rFonts w:ascii="Times New Roman" w:hAnsi="Times New Roman" w:eastAsia="宋体" w:cs="Times New Roman"/>
          <w:b/>
          <w:bCs/>
          <w:sz w:val="24"/>
          <w:szCs w:val="21"/>
        </w:rPr>
      </w:pPr>
      <w:r>
        <w:rPr>
          <w:rFonts w:hint="eastAsia" w:ascii="Times New Roman" w:hAnsi="Times New Roman" w:eastAsia="宋体" w:cs="Times New Roman"/>
          <w:bCs/>
          <w:sz w:val="24"/>
          <w:szCs w:val="21"/>
        </w:rPr>
        <w:t>我单位参加</w:t>
      </w:r>
      <w:r>
        <w:rPr>
          <w:rFonts w:hint="eastAsia" w:ascii="Times New Roman" w:hAnsi="Times New Roman" w:eastAsia="宋体" w:cs="Times New Roman"/>
          <w:bCs/>
          <w:sz w:val="24"/>
          <w:szCs w:val="21"/>
          <w:u w:val="single"/>
        </w:rPr>
        <w:t>________________ _</w:t>
      </w:r>
      <w:r>
        <w:rPr>
          <w:rFonts w:hint="eastAsia" w:ascii="Times New Roman" w:hAnsi="Times New Roman" w:eastAsia="宋体" w:cs="Times New Roman"/>
          <w:bCs/>
          <w:sz w:val="24"/>
          <w:szCs w:val="21"/>
        </w:rPr>
        <w:t>（项目名称），</w:t>
      </w:r>
      <w:r>
        <w:rPr>
          <w:rFonts w:hint="eastAsia" w:ascii="Times New Roman" w:hAnsi="Times New Roman" w:eastAsia="宋体" w:cs="Times New Roman"/>
          <w:bCs/>
          <w:sz w:val="24"/>
          <w:szCs w:val="21"/>
          <w:u w:val="single"/>
        </w:rPr>
        <w:t>_______ __________</w:t>
      </w:r>
      <w:r>
        <w:rPr>
          <w:rFonts w:hint="eastAsia" w:ascii="Times New Roman" w:hAnsi="Times New Roman" w:eastAsia="宋体" w:cs="Times New Roman"/>
          <w:bCs/>
          <w:sz w:val="24"/>
          <w:szCs w:val="21"/>
        </w:rPr>
        <w:t>（项目编号）竞争性磋商活动。针对《中华人民共和国政府采购法》第二十二条规定做出如下声明：</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bCs/>
          <w:sz w:val="24"/>
          <w:szCs w:val="21"/>
        </w:rPr>
        <w:t>1.我单位具有独立承担民事责任的能力；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2.我单位具有良好的商业信誉和健全的财务会计制度；</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3.我单位具有履行合同所必需的设备和专业技术能力；</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4.我单位有依法缴纳税收和社会保障资金的良好记录；</w:t>
      </w:r>
    </w:p>
    <w:p>
      <w:pPr>
        <w:spacing w:line="360" w:lineRule="auto"/>
        <w:ind w:firstLine="480" w:firstLineChars="200"/>
        <w:rPr>
          <w:rFonts w:ascii="Times New Roman" w:hAnsi="Times New Roman" w:eastAsia="宋体" w:cs="Times New Roman"/>
          <w:sz w:val="24"/>
          <w:szCs w:val="21"/>
        </w:rPr>
      </w:pPr>
      <w:r>
        <w:rPr>
          <w:rFonts w:hint="eastAsia" w:ascii="Times New Roman" w:hAnsi="Times New Roman" w:eastAsia="宋体" w:cs="Times New Roman"/>
          <w:sz w:val="24"/>
          <w:szCs w:val="21"/>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480" w:firstLineChars="200"/>
        <w:rPr>
          <w:rFonts w:ascii="Times New Roman" w:hAnsi="Times New Roman" w:eastAsia="宋体" w:cs="Times New Roman"/>
          <w:bCs/>
          <w:color w:val="000000"/>
          <w:sz w:val="24"/>
          <w:szCs w:val="21"/>
        </w:rPr>
      </w:pPr>
      <w:r>
        <w:rPr>
          <w:rFonts w:hint="eastAsia" w:ascii="Times New Roman" w:hAnsi="Times New Roman" w:eastAsia="宋体" w:cs="Times New Roman"/>
          <w:sz w:val="24"/>
          <w:szCs w:val="21"/>
        </w:rPr>
        <w:t>6.我单位满足法律、行政法规规定的其他条件。</w:t>
      </w:r>
    </w:p>
    <w:p>
      <w:pPr>
        <w:spacing w:line="400" w:lineRule="exact"/>
        <w:rPr>
          <w:rFonts w:ascii="Times New Roman" w:hAnsi="Times New Roman" w:eastAsia="宋体" w:cs="Times New Roman"/>
          <w:sz w:val="28"/>
          <w:szCs w:val="20"/>
        </w:rPr>
      </w:pPr>
    </w:p>
    <w:p>
      <w:pPr>
        <w:spacing w:line="480" w:lineRule="auto"/>
        <w:ind w:firstLine="480" w:firstLineChars="200"/>
        <w:jc w:val="right"/>
        <w:rPr>
          <w:rFonts w:ascii="Times New Roman" w:hAnsi="Times New Roman" w:eastAsia="宋体" w:cs="宋体"/>
          <w:sz w:val="24"/>
          <w:szCs w:val="24"/>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spacing w:line="360" w:lineRule="auto"/>
        <w:jc w:val="center"/>
        <w:rPr>
          <w:rFonts w:ascii="Times New Roman" w:hAnsi="Times New Roman" w:eastAsia="宋体" w:cs="Times New Roman"/>
          <w:b/>
          <w:sz w:val="24"/>
          <w:szCs w:val="24"/>
        </w:rPr>
      </w:pPr>
      <w:r>
        <w:rPr>
          <w:rFonts w:hint="eastAsia" w:ascii="Times New Roman" w:hAnsi="Times New Roman" w:eastAsia="宋体"/>
          <w:b/>
          <w:sz w:val="24"/>
          <w:szCs w:val="24"/>
        </w:rPr>
        <w:t>4、</w:t>
      </w:r>
      <w:r>
        <w:rPr>
          <w:rFonts w:hint="eastAsia" w:ascii="Times New Roman" w:hAnsi="Times New Roman" w:eastAsia="宋体" w:cs="Times New Roman"/>
          <w:b/>
          <w:sz w:val="24"/>
          <w:szCs w:val="24"/>
        </w:rPr>
        <w:t>诚信承诺书</w:t>
      </w:r>
    </w:p>
    <w:p>
      <w:pPr>
        <w:spacing w:line="360" w:lineRule="auto"/>
        <w:rPr>
          <w:rFonts w:ascii="Times New Roman" w:hAnsi="Times New Roman" w:eastAsia="宋体" w:cs="Times New Roman"/>
          <w:sz w:val="28"/>
          <w:szCs w:val="28"/>
          <w:u w:val="single"/>
        </w:rPr>
      </w:pPr>
      <w:r>
        <w:rPr>
          <w:rFonts w:ascii="Times New Roman" w:hAnsi="Times New Roman" w:eastAsia="宋体" w:cs="仿宋_GB2312"/>
          <w:sz w:val="24"/>
          <w:szCs w:val="24"/>
          <w:u w:val="single"/>
        </w:rPr>
        <w:softHyphen/>
      </w:r>
      <w:r>
        <w:rPr>
          <w:rFonts w:hint="eastAsia" w:ascii="Times New Roman" w:hAnsi="Times New Roman" w:eastAsia="宋体" w:cs="仿宋_GB2312"/>
          <w:sz w:val="24"/>
          <w:szCs w:val="24"/>
          <w:u w:val="single"/>
        </w:rPr>
        <w:t>______</w:t>
      </w:r>
      <w:r>
        <w:rPr>
          <w:rFonts w:hint="eastAsia" w:ascii="Times New Roman" w:hAnsi="Times New Roman" w:eastAsia="宋体" w:cs="宋体"/>
          <w:sz w:val="24"/>
          <w:szCs w:val="24"/>
          <w:u w:val="single"/>
        </w:rPr>
        <w:t>：</w:t>
      </w:r>
    </w:p>
    <w:p>
      <w:pPr>
        <w:spacing w:line="360" w:lineRule="auto"/>
        <w:ind w:firstLine="480" w:firstLineChars="200"/>
        <w:rPr>
          <w:rFonts w:ascii="Times New Roman" w:hAnsi="Times New Roman" w:eastAsia="宋体" w:cs="宋体"/>
          <w:sz w:val="24"/>
          <w:szCs w:val="24"/>
        </w:rPr>
      </w:pPr>
      <w:r>
        <w:rPr>
          <w:rFonts w:hint="eastAsia" w:ascii="Times New Roman" w:hAnsi="Times New Roman" w:eastAsia="宋体" w:cs="宋体"/>
          <w:sz w:val="24"/>
          <w:szCs w:val="24"/>
        </w:rPr>
        <w:t>我单位在参加贵单位组织的</w:t>
      </w:r>
      <w:r>
        <w:rPr>
          <w:rFonts w:hint="eastAsia" w:ascii="Times New Roman" w:hAnsi="Times New Roman" w:eastAsia="宋体" w:cs="宋体"/>
          <w:sz w:val="24"/>
          <w:szCs w:val="24"/>
          <w:u w:val="single"/>
        </w:rPr>
        <w:t xml:space="preserve">     项目</w:t>
      </w:r>
      <w:r>
        <w:rPr>
          <w:rFonts w:hint="eastAsia" w:ascii="Times New Roman" w:hAnsi="Times New Roman" w:eastAsia="宋体" w:cs="宋体"/>
          <w:sz w:val="24"/>
          <w:szCs w:val="24"/>
        </w:rPr>
        <w:t>的招投标活动中，郑重承诺如下：</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1、我方申报的所有资料都是真实、准确、完整的；</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2、我方无资质挂靠或参与串标、围标、及抬标情形；</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3、我方没有被各级行政主管部门做出停止市场行为的处罚；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4、若我方中标，将严格按照规定及时与招标单位签订合同；</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5、若我方中标，将严格按照投标文件所承诺的报价、质量、供货期等内容组织实施；</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若我方违反上述承诺，隐瞒、提供虚假资料或不按投标文件要求组织实施，被贵方发现或被他人举报查实，无条件接受有关行政监督部门做出的取消投标资格、中标资格、没收投标保证金、不良行为记录、限制其一定期限内投标资格等处罚。对造成的损失，任何法律和经济责任完全由我方负责。</w:t>
      </w:r>
    </w:p>
    <w:p>
      <w:pPr>
        <w:spacing w:line="360" w:lineRule="auto"/>
        <w:ind w:firstLine="560" w:firstLineChars="200"/>
        <w:rPr>
          <w:rFonts w:ascii="Times New Roman" w:hAnsi="Times New Roman" w:eastAsia="宋体" w:cs="宋体"/>
          <w:bCs/>
          <w:sz w:val="28"/>
          <w:szCs w:val="28"/>
        </w:rPr>
      </w:pP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投标供应商：</w:t>
      </w:r>
      <w:r>
        <w:rPr>
          <w:rFonts w:hint="eastAsia" w:ascii="Times New Roman" w:hAnsi="Times New Roman" w:eastAsia="宋体" w:cs="宋体"/>
          <w:sz w:val="24"/>
          <w:szCs w:val="24"/>
          <w:u w:val="single"/>
        </w:rPr>
        <w:t xml:space="preserve">  </w:t>
      </w:r>
      <w:r>
        <w:rPr>
          <w:rFonts w:ascii="Times New Roman" w:hAnsi="Times New Roman" w:eastAsia="宋体" w:cs="宋体"/>
          <w:sz w:val="24"/>
          <w:szCs w:val="24"/>
          <w:u w:val="single"/>
        </w:rPr>
        <w:t xml:space="preserve">       </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（加盖公章）</w:t>
      </w:r>
    </w:p>
    <w:p>
      <w:pPr>
        <w:spacing w:line="480" w:lineRule="auto"/>
        <w:ind w:firstLine="480" w:firstLineChars="200"/>
        <w:jc w:val="right"/>
        <w:rPr>
          <w:rFonts w:ascii="Times New Roman" w:hAnsi="Times New Roman" w:eastAsia="宋体" w:cs="宋体"/>
          <w:sz w:val="24"/>
          <w:szCs w:val="24"/>
        </w:rPr>
      </w:pPr>
      <w:r>
        <w:rPr>
          <w:rFonts w:hint="eastAsia" w:ascii="Times New Roman" w:hAnsi="Times New Roman" w:eastAsia="宋体" w:cs="宋体"/>
          <w:sz w:val="24"/>
          <w:szCs w:val="24"/>
        </w:rPr>
        <w:t>法定代表人或被授权人：</w:t>
      </w:r>
      <w:r>
        <w:rPr>
          <w:rFonts w:hint="eastAsia" w:ascii="Times New Roman" w:hAnsi="Times New Roman" w:eastAsia="宋体" w:cs="宋体"/>
          <w:sz w:val="24"/>
          <w:szCs w:val="24"/>
          <w:u w:val="single"/>
        </w:rPr>
        <w:t xml:space="preserve">          </w:t>
      </w:r>
      <w:r>
        <w:rPr>
          <w:rFonts w:hint="eastAsia" w:ascii="Times New Roman" w:hAnsi="Times New Roman" w:eastAsia="宋体" w:cs="宋体"/>
          <w:sz w:val="24"/>
          <w:szCs w:val="24"/>
        </w:rPr>
        <w:t>（签字或盖章）</w:t>
      </w:r>
    </w:p>
    <w:p>
      <w:pPr>
        <w:spacing w:line="480" w:lineRule="auto"/>
        <w:ind w:firstLine="1320" w:firstLineChars="550"/>
        <w:jc w:val="right"/>
        <w:rPr>
          <w:rFonts w:ascii="Times New Roman" w:hAnsi="Times New Roman" w:eastAsia="宋体" w:cs="宋体"/>
          <w:sz w:val="24"/>
          <w:szCs w:val="24"/>
        </w:rPr>
      </w:pPr>
      <w:r>
        <w:rPr>
          <w:rFonts w:hint="eastAsia" w:ascii="Times New Roman" w:hAnsi="Times New Roman" w:eastAsia="宋体" w:cs="宋体"/>
          <w:sz w:val="24"/>
          <w:szCs w:val="24"/>
        </w:rPr>
        <w:t>年      月     日</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jc w:val="center"/>
        <w:rPr>
          <w:rFonts w:ascii="Times New Roman" w:hAnsi="Times New Roman" w:eastAsia="宋体"/>
          <w:b/>
          <w:sz w:val="24"/>
          <w:szCs w:val="24"/>
        </w:rPr>
      </w:pPr>
      <w:r>
        <w:rPr>
          <w:rFonts w:hint="eastAsia" w:ascii="Times New Roman" w:hAnsi="Times New Roman" w:eastAsia="宋体"/>
          <w:b/>
          <w:sz w:val="24"/>
          <w:szCs w:val="24"/>
        </w:rPr>
        <w:t>5、技术商务条款响应正负偏离表</w:t>
      </w:r>
    </w:p>
    <w:p>
      <w:pPr>
        <w:spacing w:line="360" w:lineRule="auto"/>
        <w:ind w:firstLine="480"/>
        <w:jc w:val="center"/>
        <w:textAlignment w:val="baseline"/>
        <w:rPr>
          <w:rFonts w:ascii="Times New Roman" w:hAnsi="Times New Roman" w:eastAsia="宋体" w:cs="宋体"/>
          <w:sz w:val="24"/>
          <w:szCs w:val="24"/>
        </w:rPr>
      </w:pPr>
      <w:r>
        <w:rPr>
          <w:rFonts w:hint="eastAsia" w:ascii="Times New Roman" w:hAnsi="Times New Roman" w:eastAsia="宋体" w:cs="仿宋"/>
          <w:sz w:val="28"/>
          <w:szCs w:val="28"/>
        </w:rPr>
        <w:t>（</w:t>
      </w:r>
      <w:r>
        <w:rPr>
          <w:rFonts w:hint="eastAsia" w:ascii="Times New Roman" w:hAnsi="Times New Roman" w:eastAsia="宋体" w:cs="宋体"/>
          <w:sz w:val="24"/>
          <w:szCs w:val="24"/>
        </w:rPr>
        <w:t>由响应人据实提交，表格不够自行添加）</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53"/>
        <w:gridCol w:w="2706"/>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序号</w:t>
            </w:r>
          </w:p>
        </w:tc>
        <w:tc>
          <w:tcPr>
            <w:tcW w:w="953"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货物或服务名称</w:t>
            </w:r>
          </w:p>
        </w:tc>
        <w:tc>
          <w:tcPr>
            <w:tcW w:w="2706" w:type="dxa"/>
            <w:tcBorders>
              <w:top w:val="single" w:color="auto" w:sz="12"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spacing w:line="360" w:lineRule="auto"/>
              <w:jc w:val="center"/>
              <w:textAlignment w:val="baseline"/>
              <w:rPr>
                <w:rFonts w:ascii="Times New Roman" w:hAnsi="Times New Roman" w:eastAsia="宋体" w:cs="宋体"/>
                <w:sz w:val="24"/>
                <w:szCs w:val="24"/>
              </w:rPr>
            </w:pPr>
            <w:r>
              <w:rPr>
                <w:rFonts w:hint="eastAsia" w:ascii="Times New Roman" w:hAnsi="Times New Roman" w:eastAsia="宋体" w:cs="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1</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2</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textAlignment w:val="baseline"/>
              <w:rPr>
                <w:rFonts w:ascii="Times New Roman" w:hAnsi="Times New Roman" w:eastAsia="宋体" w:cs="宋体"/>
                <w:sz w:val="24"/>
                <w:szCs w:val="24"/>
              </w:rPr>
            </w:pPr>
            <w:r>
              <w:rPr>
                <w:rFonts w:hint="eastAsia" w:ascii="Times New Roman" w:hAnsi="Times New Roman" w:eastAsia="宋体" w:cs="宋体"/>
                <w:sz w:val="24"/>
                <w:szCs w:val="24"/>
              </w:rPr>
              <w:t>3</w:t>
            </w: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spacing w:line="360" w:lineRule="auto"/>
              <w:ind w:firstLine="480"/>
              <w:textAlignment w:val="baseline"/>
              <w:rPr>
                <w:rFonts w:ascii="Times New Roman" w:hAnsi="Times New Roman" w:eastAsia="宋体" w:cs="宋体"/>
                <w:sz w:val="24"/>
                <w:szCs w:val="24"/>
              </w:rPr>
            </w:pPr>
          </w:p>
        </w:tc>
        <w:tc>
          <w:tcPr>
            <w:tcW w:w="953"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06"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2720" w:type="dxa"/>
            <w:tcBorders>
              <w:top w:val="single" w:color="auto" w:sz="6" w:space="0"/>
              <w:left w:val="single" w:color="auto" w:sz="6" w:space="0"/>
              <w:bottom w:val="single" w:color="auto" w:sz="6" w:space="0"/>
              <w:right w:val="single" w:color="auto" w:sz="6" w:space="0"/>
            </w:tcBorders>
            <w:vAlign w:val="center"/>
          </w:tcPr>
          <w:p>
            <w:pPr>
              <w:spacing w:line="360" w:lineRule="auto"/>
              <w:ind w:firstLine="480"/>
              <w:textAlignment w:val="baseline"/>
              <w:rPr>
                <w:rFonts w:ascii="Times New Roman" w:hAnsi="Times New Roman" w:eastAsia="宋体" w:cs="宋体"/>
                <w:sz w:val="24"/>
                <w:szCs w:val="24"/>
              </w:rPr>
            </w:pPr>
          </w:p>
        </w:tc>
        <w:tc>
          <w:tcPr>
            <w:tcW w:w="1417" w:type="dxa"/>
            <w:tcBorders>
              <w:top w:val="single" w:color="auto" w:sz="6" w:space="0"/>
              <w:left w:val="single" w:color="auto" w:sz="6" w:space="0"/>
              <w:bottom w:val="single" w:color="auto" w:sz="6" w:space="0"/>
              <w:right w:val="single" w:color="auto" w:sz="12" w:space="0"/>
            </w:tcBorders>
          </w:tcPr>
          <w:p>
            <w:pPr>
              <w:spacing w:line="360" w:lineRule="auto"/>
              <w:ind w:firstLine="480"/>
              <w:textAlignment w:val="baseline"/>
              <w:rPr>
                <w:rFonts w:ascii="Times New Roman" w:hAnsi="Times New Roman" w:eastAsia="宋体" w:cs="宋体"/>
                <w:sz w:val="24"/>
                <w:szCs w:val="24"/>
              </w:rPr>
            </w:pPr>
          </w:p>
        </w:tc>
      </w:tr>
    </w:tbl>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注：</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1、响应人提交的响应文件中与磋商文件第三部分“项目需求说明”中的商务、技术部分的要求有不同时，应逐条填列在偏离表中，否则将认为响应人接受磋商文件的所有要求。完全响应部分不填到。</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2、“偏离说明”一栏选择“正偏离”、“负偏离”进行填写。正偏离的确认和负偏离的是否相应磋商文件，经三分之二评委认定。</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3、响应人如果虚假响应，将承担一切可能的风险。</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4、供应商若提供其他增值服务，可以在表中自行据实填写。</w:t>
      </w: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供应商名称（盖章）：</w:t>
      </w:r>
    </w:p>
    <w:p>
      <w:pPr>
        <w:spacing w:line="360" w:lineRule="auto"/>
        <w:ind w:firstLine="480"/>
        <w:textAlignment w:val="baseline"/>
        <w:rPr>
          <w:rFonts w:ascii="Times New Roman" w:hAnsi="Times New Roman" w:eastAsia="宋体" w:cs="宋体"/>
          <w:sz w:val="24"/>
          <w:szCs w:val="24"/>
        </w:rPr>
      </w:pPr>
      <w:r>
        <w:rPr>
          <w:rFonts w:hint="eastAsia" w:ascii="Times New Roman" w:hAnsi="Times New Roman" w:eastAsia="宋体" w:cs="宋体"/>
          <w:sz w:val="24"/>
          <w:szCs w:val="24"/>
        </w:rPr>
        <w:t>法人或授权委托人（签字或盖章）：</w:t>
      </w:r>
    </w:p>
    <w:p>
      <w:pPr>
        <w:spacing w:line="360" w:lineRule="auto"/>
        <w:ind w:firstLine="480"/>
        <w:textAlignment w:val="baseline"/>
        <w:rPr>
          <w:rFonts w:ascii="Times New Roman" w:hAnsi="Times New Roman" w:eastAsia="宋体" w:cs="宋体"/>
          <w:sz w:val="24"/>
          <w:szCs w:val="24"/>
        </w:rPr>
      </w:pPr>
      <w:r>
        <w:rPr>
          <w:rFonts w:ascii="Times New Roman" w:hAnsi="Times New Roman" w:eastAsia="宋体" w:cs="宋体"/>
          <w:sz w:val="24"/>
          <w:szCs w:val="24"/>
        </w:rPr>
        <w:t>日期：</w:t>
      </w:r>
    </w:p>
    <w:p>
      <w:pPr>
        <w:spacing w:line="400" w:lineRule="exact"/>
        <w:rPr>
          <w:rFonts w:ascii="Times New Roman" w:hAnsi="Times New Roman" w:eastAsia="宋体" w:cs="仿宋"/>
          <w:sz w:val="28"/>
          <w:szCs w:val="28"/>
        </w:rPr>
      </w:pPr>
    </w:p>
    <w:p>
      <w:pPr>
        <w:widowControl/>
        <w:jc w:val="center"/>
        <w:rPr>
          <w:rFonts w:ascii="Times New Roman" w:hAnsi="Times New Roman" w:eastAsia="宋体" w:cs="宋体"/>
          <w:b/>
          <w:bCs/>
          <w:sz w:val="24"/>
          <w:szCs w:val="24"/>
        </w:rPr>
      </w:pPr>
    </w:p>
    <w:p>
      <w:pPr>
        <w:widowControl/>
        <w:jc w:val="left"/>
        <w:rPr>
          <w:rFonts w:ascii="Times New Roman" w:hAnsi="Times New Roman" w:eastAsia="宋体" w:cs="宋体"/>
          <w:b/>
          <w:bCs/>
          <w:sz w:val="24"/>
          <w:szCs w:val="24"/>
        </w:rPr>
      </w:pPr>
      <w:r>
        <w:rPr>
          <w:rFonts w:ascii="Times New Roman" w:hAnsi="Times New Roman" w:eastAsia="宋体" w:cs="宋体"/>
          <w:b/>
          <w:bCs/>
          <w:sz w:val="24"/>
          <w:szCs w:val="24"/>
        </w:rPr>
        <w:br w:type="page"/>
      </w:r>
    </w:p>
    <w:p>
      <w:pPr>
        <w:widowControl/>
        <w:jc w:val="center"/>
        <w:rPr>
          <w:rFonts w:ascii="Times New Roman" w:hAnsi="Times New Roman" w:eastAsia="宋体" w:cs="宋体"/>
          <w:b/>
          <w:bCs/>
          <w:sz w:val="24"/>
          <w:szCs w:val="24"/>
        </w:rPr>
      </w:pPr>
      <w:r>
        <w:rPr>
          <w:rFonts w:hint="eastAsia" w:ascii="Times New Roman" w:hAnsi="Times New Roman" w:eastAsia="宋体" w:cs="宋体"/>
          <w:b/>
          <w:bCs/>
          <w:sz w:val="24"/>
          <w:szCs w:val="24"/>
        </w:rPr>
        <w:t>6、竞争性磋商响应函</w:t>
      </w:r>
    </w:p>
    <w:p>
      <w:pPr>
        <w:spacing w:line="360" w:lineRule="auto"/>
        <w:textAlignment w:val="baseline"/>
        <w:rPr>
          <w:rFonts w:ascii="Times New Roman" w:hAnsi="Times New Roman" w:eastAsia="宋体" w:cs="宋体"/>
          <w:sz w:val="24"/>
          <w:szCs w:val="24"/>
        </w:rPr>
      </w:pPr>
      <w:r>
        <w:rPr>
          <w:rFonts w:hint="eastAsia" w:ascii="Times New Roman" w:hAnsi="Times New Roman" w:eastAsia="宋体"/>
          <w:sz w:val="24"/>
          <w:szCs w:val="24"/>
          <w:u w:val="single"/>
        </w:rPr>
        <w:t>南通市第三人民医院</w:t>
      </w:r>
      <w:r>
        <w:rPr>
          <w:rFonts w:hint="eastAsia" w:ascii="Times New Roman" w:hAnsi="Times New Roman" w:eastAsia="宋体" w:cs="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依据贵单位委托代理机构组织的（磋商项目名称)项目竞争性磋商的邀请，我方授权（姓名）（职务）为全权代表参加该项目的磋商工作，全权处理本次竞争性磋商的有关事宜。同时，我公司声明如下：</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1、同意并接受竞争性磋商文件的各项要求，遵守竞争性磋商文件中的各项规定，按竞争性磋商文件的要求提供报价。</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3、我公司已毫无保留地向贵方提供一切所需的证明材料。</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sz w:val="24"/>
          <w:szCs w:val="24"/>
        </w:rPr>
        <w:t>4、我公司承诺在本次磋商响应中提供的一切文件，无论是原件还是复印件均真实有效，绝无任何虚假、伪造和夸大的成份。否则，愿承担相应的后果和法律责任。</w:t>
      </w:r>
    </w:p>
    <w:p>
      <w:pPr>
        <w:spacing w:line="360" w:lineRule="auto"/>
        <w:ind w:firstLine="480" w:firstLineChars="200"/>
        <w:textAlignment w:val="baseline"/>
        <w:rPr>
          <w:rFonts w:ascii="Times New Roman" w:hAnsi="Times New Roman" w:eastAsia="宋体"/>
          <w:b/>
          <w:sz w:val="24"/>
          <w:szCs w:val="24"/>
        </w:rPr>
      </w:pPr>
      <w:r>
        <w:rPr>
          <w:rFonts w:hint="eastAsia" w:ascii="Times New Roman" w:hAnsi="Times New Roman" w:eastAsia="宋体"/>
          <w:sz w:val="24"/>
          <w:szCs w:val="24"/>
        </w:rPr>
        <w:t>5、</w:t>
      </w:r>
      <w:r>
        <w:rPr>
          <w:rFonts w:hint="eastAsia" w:ascii="Times New Roman" w:hAnsi="Times New Roman" w:eastAsia="宋体"/>
          <w:b/>
          <w:sz w:val="24"/>
          <w:szCs w:val="24"/>
        </w:rPr>
        <w:t>我公司尊重磋商小组所作的评定结果，同时清楚理解到报价最低并非意味着必定获得成交资格。</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6</w:t>
      </w:r>
      <w:r>
        <w:rPr>
          <w:rFonts w:hint="eastAsia" w:ascii="Times New Roman" w:hAnsi="Times New Roman" w:eastAsia="宋体"/>
          <w:sz w:val="24"/>
          <w:szCs w:val="24"/>
        </w:rPr>
        <w:t>、一旦成交，我方承诺无正当理由拒绝签订合同，将被贵方取消成交资格，同意贵方将磋商保证金作为违约金全额不予退还的处理。</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7</w:t>
      </w:r>
      <w:r>
        <w:rPr>
          <w:rFonts w:hint="eastAsia" w:ascii="Times New Roman" w:hAnsi="Times New Roman" w:eastAsia="宋体"/>
          <w:sz w:val="24"/>
          <w:szCs w:val="24"/>
        </w:rPr>
        <w:t>、</w:t>
      </w:r>
      <w:r>
        <w:rPr>
          <w:rFonts w:hint="eastAsia" w:ascii="Times New Roman" w:hAnsi="Times New Roman" w:eastAsia="宋体"/>
          <w:b/>
          <w:sz w:val="24"/>
          <w:szCs w:val="24"/>
        </w:rPr>
        <w:t>一旦成交，我方将根据竞争性磋商文件的规定，严格履行合同规定的责任和义务，并保证在竞争性磋商文件中规定的时间期限内完成合同项目。</w:t>
      </w:r>
    </w:p>
    <w:p>
      <w:pPr>
        <w:spacing w:line="360" w:lineRule="auto"/>
        <w:ind w:firstLine="2760" w:firstLineChars="1150"/>
        <w:textAlignment w:val="baseline"/>
        <w:rPr>
          <w:rFonts w:ascii="Times New Roman" w:hAnsi="Times New Roman" w:eastAsia="宋体"/>
          <w:sz w:val="24"/>
          <w:szCs w:val="24"/>
        </w:rPr>
      </w:pPr>
    </w:p>
    <w:p>
      <w:pPr>
        <w:spacing w:line="360" w:lineRule="auto"/>
        <w:ind w:firstLine="2760" w:firstLineChars="115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600" w:firstLineChars="150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ind w:firstLine="6840" w:firstLineChars="2850"/>
        <w:textAlignment w:val="baseline"/>
        <w:rPr>
          <w:rFonts w:ascii="Times New Roman" w:hAnsi="Times New Roman" w:eastAsia="宋体"/>
          <w:sz w:val="24"/>
          <w:szCs w:val="24"/>
        </w:rPr>
      </w:pPr>
      <w:r>
        <w:rPr>
          <w:rFonts w:hint="eastAsia" w:ascii="Times New Roman" w:hAnsi="Times New Roman" w:eastAsia="宋体"/>
          <w:sz w:val="24"/>
          <w:szCs w:val="24"/>
        </w:rPr>
        <w:t>年月日</w:t>
      </w:r>
    </w:p>
    <w:p>
      <w:pPr>
        <w:widowControl/>
        <w:spacing w:line="360" w:lineRule="auto"/>
        <w:jc w:val="left"/>
        <w:rPr>
          <w:rFonts w:ascii="Times New Roman" w:hAnsi="Times New Roman" w:eastAsia="宋体"/>
          <w:sz w:val="24"/>
          <w:szCs w:val="24"/>
        </w:rPr>
      </w:pPr>
      <w:r>
        <w:rPr>
          <w:rFonts w:ascii="Times New Roman" w:hAnsi="Times New Roman" w:eastAsia="宋体"/>
          <w:sz w:val="24"/>
          <w:szCs w:val="24"/>
        </w:rPr>
        <w:br w:type="page"/>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7、磋商响应报价表</w:t>
      </w:r>
    </w:p>
    <w:p>
      <w:pPr>
        <w:spacing w:line="360" w:lineRule="auto"/>
        <w:ind w:firstLine="241" w:firstLineChars="100"/>
        <w:textAlignment w:val="baseline"/>
        <w:rPr>
          <w:rFonts w:ascii="Times New Roman" w:hAnsi="Times New Roman" w:eastAsia="宋体"/>
          <w:b/>
          <w:sz w:val="24"/>
          <w:szCs w:val="24"/>
        </w:rPr>
      </w:pPr>
      <w:r>
        <w:rPr>
          <w:rFonts w:hint="eastAsia" w:ascii="Times New Roman" w:hAnsi="Times New Roman" w:eastAsia="宋体"/>
          <w:b/>
          <w:sz w:val="24"/>
          <w:szCs w:val="24"/>
        </w:rPr>
        <w:t>项目</w:t>
      </w:r>
      <w:r>
        <w:rPr>
          <w:rFonts w:ascii="Times New Roman" w:hAnsi="Times New Roman" w:eastAsia="宋体"/>
          <w:b/>
          <w:sz w:val="24"/>
          <w:szCs w:val="24"/>
        </w:rPr>
        <w:t>名称：</w:t>
      </w:r>
      <w:r>
        <w:rPr>
          <w:rFonts w:hint="eastAsia" w:ascii="Times New Roman" w:hAnsi="Times New Roman" w:eastAsia="宋体"/>
          <w:sz w:val="24"/>
          <w:szCs w:val="24"/>
        </w:rPr>
        <w:t>南通市第三人民医院艾滋病精细化管理系统采购项目</w:t>
      </w:r>
    </w:p>
    <w:tbl>
      <w:tblPr>
        <w:tblStyle w:val="18"/>
        <w:tblW w:w="93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6"/>
        <w:gridCol w:w="2705"/>
        <w:gridCol w:w="1420"/>
        <w:gridCol w:w="3855"/>
        <w:gridCol w:w="8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序号</w:t>
            </w:r>
          </w:p>
        </w:tc>
        <w:tc>
          <w:tcPr>
            <w:tcW w:w="27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项目内容</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报价轮次</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磋商总报价（元）</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
                <w:sz w:val="24"/>
                <w:szCs w:val="24"/>
              </w:rPr>
            </w:pPr>
            <w:r>
              <w:rPr>
                <w:rFonts w:hint="eastAsia" w:ascii="Times New Roman" w:hAnsi="Times New Roman"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1</w:t>
            </w:r>
          </w:p>
        </w:tc>
        <w:tc>
          <w:tcPr>
            <w:tcW w:w="2705" w:type="dxa"/>
            <w:vMerge w:val="restart"/>
            <w:tcBorders>
              <w:top w:val="single" w:color="auto" w:sz="4" w:space="0"/>
              <w:left w:val="single" w:color="auto" w:sz="4" w:space="0"/>
              <w:right w:val="single" w:color="auto" w:sz="4" w:space="0"/>
            </w:tcBorders>
            <w:vAlign w:val="center"/>
          </w:tcPr>
          <w:p>
            <w:pPr>
              <w:spacing w:line="360" w:lineRule="auto"/>
              <w:textAlignment w:val="baseline"/>
              <w:rPr>
                <w:rFonts w:ascii="Times New Roman" w:hAnsi="Times New Roman" w:eastAsia="宋体"/>
                <w:b/>
                <w:bCs/>
                <w:sz w:val="20"/>
                <w:szCs w:val="21"/>
              </w:rPr>
            </w:pPr>
            <w:r>
              <w:rPr>
                <w:rFonts w:hint="eastAsia" w:ascii="Times New Roman" w:hAnsi="Times New Roman" w:eastAsia="宋体"/>
                <w:b/>
                <w:sz w:val="22"/>
                <w:szCs w:val="24"/>
              </w:rPr>
              <w:t>南通市第三人民医院艾滋病精细化管理系统采购项目</w:t>
            </w: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首次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55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r>
              <w:rPr>
                <w:rFonts w:hint="eastAsia" w:ascii="Times New Roman" w:hAnsi="Times New Roman" w:eastAsia="宋体"/>
                <w:bCs/>
                <w:sz w:val="24"/>
                <w:szCs w:val="24"/>
              </w:rPr>
              <w:t>2</w:t>
            </w:r>
          </w:p>
        </w:tc>
        <w:tc>
          <w:tcPr>
            <w:tcW w:w="2705" w:type="dxa"/>
            <w:vMerge w:val="continue"/>
            <w:tcBorders>
              <w:left w:val="single" w:color="auto" w:sz="4" w:space="0"/>
              <w:right w:val="single" w:color="auto" w:sz="4" w:space="0"/>
            </w:tcBorders>
            <w:vAlign w:val="center"/>
          </w:tcPr>
          <w:p>
            <w:pPr>
              <w:spacing w:line="360" w:lineRule="auto"/>
              <w:textAlignment w:val="baseline"/>
              <w:rPr>
                <w:rFonts w:ascii="Times New Roman" w:hAnsi="Times New Roman" w:eastAsia="宋体"/>
                <w:bCs/>
                <w:sz w:val="24"/>
                <w:szCs w:val="24"/>
              </w:rPr>
            </w:pPr>
          </w:p>
        </w:tc>
        <w:tc>
          <w:tcPr>
            <w:tcW w:w="14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textAlignment w:val="baseline"/>
              <w:rPr>
                <w:rFonts w:ascii="Times New Roman" w:hAnsi="Times New Roman" w:eastAsia="宋体"/>
                <w:bCs/>
                <w:sz w:val="24"/>
                <w:szCs w:val="24"/>
              </w:rPr>
            </w:pPr>
            <w:r>
              <w:rPr>
                <w:rFonts w:hint="eastAsia" w:ascii="Times New Roman" w:hAnsi="Times New Roman" w:eastAsia="宋体"/>
                <w:bCs/>
                <w:sz w:val="24"/>
                <w:szCs w:val="24"/>
              </w:rPr>
              <w:t>第二次</w:t>
            </w:r>
            <w:r>
              <w:rPr>
                <w:rFonts w:ascii="Times New Roman" w:hAnsi="Times New Roman" w:eastAsia="宋体"/>
                <w:bCs/>
                <w:sz w:val="24"/>
                <w:szCs w:val="24"/>
              </w:rPr>
              <w:t>报价</w:t>
            </w:r>
          </w:p>
        </w:tc>
        <w:tc>
          <w:tcPr>
            <w:tcW w:w="3855"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大写（人民币）：</w:t>
            </w:r>
          </w:p>
          <w:p>
            <w:pPr>
              <w:spacing w:line="360" w:lineRule="auto"/>
              <w:textAlignment w:val="baseline"/>
              <w:rPr>
                <w:rFonts w:ascii="Times New Roman" w:hAnsi="Times New Roman" w:eastAsia="宋体"/>
                <w:sz w:val="24"/>
                <w:szCs w:val="24"/>
              </w:rPr>
            </w:pPr>
            <w:r>
              <w:rPr>
                <w:rFonts w:hint="eastAsia" w:ascii="Times New Roman" w:hAnsi="Times New Roman" w:eastAsia="宋体"/>
                <w:sz w:val="24"/>
                <w:szCs w:val="24"/>
              </w:rPr>
              <w:t>小写（￥）：</w:t>
            </w:r>
          </w:p>
        </w:tc>
        <w:tc>
          <w:tcPr>
            <w:tcW w:w="806" w:type="dxa"/>
            <w:tcBorders>
              <w:top w:val="single" w:color="auto" w:sz="4" w:space="0"/>
              <w:left w:val="single" w:color="auto" w:sz="4" w:space="0"/>
              <w:bottom w:val="single" w:color="auto" w:sz="4" w:space="0"/>
              <w:right w:val="single" w:color="auto" w:sz="4" w:space="0"/>
            </w:tcBorders>
            <w:vAlign w:val="center"/>
          </w:tcPr>
          <w:p>
            <w:pPr>
              <w:spacing w:line="360" w:lineRule="auto"/>
              <w:textAlignment w:val="baseline"/>
              <w:rPr>
                <w:rFonts w:ascii="Times New Roman" w:hAnsi="Times New Roman" w:eastAsia="宋体"/>
                <w:sz w:val="24"/>
                <w:szCs w:val="24"/>
              </w:rPr>
            </w:pPr>
          </w:p>
        </w:tc>
      </w:tr>
    </w:tbl>
    <w:p>
      <w:pPr>
        <w:spacing w:line="360" w:lineRule="auto"/>
        <w:ind w:firstLine="2640" w:firstLineChars="1100"/>
        <w:textAlignment w:val="baseline"/>
        <w:rPr>
          <w:rFonts w:ascii="Times New Roman" w:hAnsi="Times New Roman" w:eastAsia="宋体"/>
          <w:sz w:val="24"/>
          <w:szCs w:val="24"/>
        </w:rPr>
      </w:pPr>
      <w:r>
        <w:rPr>
          <w:rFonts w:hint="eastAsia" w:ascii="Times New Roman" w:hAnsi="Times New Roman" w:eastAsia="宋体"/>
          <w:sz w:val="24"/>
          <w:szCs w:val="24"/>
        </w:rPr>
        <w:t>竞争性磋商响应单位：（加盖公章）</w:t>
      </w:r>
    </w:p>
    <w:p>
      <w:pPr>
        <w:spacing w:line="360" w:lineRule="auto"/>
        <w:ind w:firstLine="3480" w:firstLineChars="1450"/>
        <w:textAlignment w:val="baseline"/>
        <w:rPr>
          <w:rFonts w:ascii="Times New Roman" w:hAnsi="Times New Roman" w:eastAsia="宋体"/>
          <w:sz w:val="24"/>
          <w:szCs w:val="24"/>
        </w:rPr>
      </w:pPr>
      <w:r>
        <w:rPr>
          <w:rFonts w:hint="eastAsia" w:ascii="Times New Roman" w:hAnsi="Times New Roman" w:eastAsia="宋体"/>
          <w:sz w:val="24"/>
          <w:szCs w:val="24"/>
        </w:rPr>
        <w:t>法定代表人：（签字或盖章）</w:t>
      </w:r>
    </w:p>
    <w:p>
      <w:pPr>
        <w:spacing w:line="360" w:lineRule="auto"/>
        <w:textAlignment w:val="baseline"/>
        <w:rPr>
          <w:rFonts w:ascii="Times New Roman" w:hAnsi="Times New Roman" w:eastAsia="宋体"/>
          <w:sz w:val="20"/>
        </w:rPr>
      </w:pPr>
    </w:p>
    <w:p>
      <w:pPr>
        <w:pStyle w:val="9"/>
        <w:spacing w:line="360" w:lineRule="auto"/>
        <w:ind w:firstLine="5400" w:firstLineChars="2250"/>
        <w:jc w:val="left"/>
        <w:textAlignment w:val="baseline"/>
        <w:rPr>
          <w:rFonts w:ascii="Times New Roman" w:hAnsi="Times New Roman" w:cs="宋体"/>
          <w:b/>
          <w:bCs/>
          <w:sz w:val="24"/>
          <w:szCs w:val="24"/>
        </w:rPr>
      </w:pPr>
      <w:r>
        <w:rPr>
          <w:rFonts w:hint="eastAsia" w:ascii="Times New Roman" w:hAnsi="Times New Roman" w:cs="宋体"/>
          <w:sz w:val="24"/>
          <w:szCs w:val="24"/>
        </w:rPr>
        <w:t>年月日</w:t>
      </w:r>
    </w:p>
    <w:p>
      <w:pPr>
        <w:pStyle w:val="9"/>
        <w:spacing w:line="360" w:lineRule="auto"/>
        <w:textAlignment w:val="baseline"/>
        <w:rPr>
          <w:rFonts w:ascii="Times New Roman" w:hAnsi="Times New Roman" w:cs="宋体"/>
          <w:b/>
          <w:bCs/>
          <w:sz w:val="24"/>
          <w:szCs w:val="24"/>
        </w:rPr>
      </w:pPr>
    </w:p>
    <w:p>
      <w:pPr>
        <w:spacing w:line="360" w:lineRule="auto"/>
        <w:textAlignment w:val="baseline"/>
        <w:rPr>
          <w:rFonts w:ascii="Times New Roman" w:hAnsi="Times New Roman" w:eastAsia="宋体" w:cs="宋体"/>
          <w:b/>
          <w:bCs/>
          <w:sz w:val="24"/>
          <w:szCs w:val="24"/>
        </w:rPr>
      </w:pPr>
    </w:p>
    <w:p>
      <w:pPr>
        <w:spacing w:line="360" w:lineRule="auto"/>
        <w:textAlignment w:val="baseline"/>
        <w:rPr>
          <w:rFonts w:ascii="Times New Roman" w:hAnsi="Times New Roman" w:eastAsia="宋体"/>
          <w:b/>
          <w:sz w:val="24"/>
          <w:szCs w:val="24"/>
        </w:rPr>
      </w:pPr>
      <w:r>
        <w:rPr>
          <w:rFonts w:hint="eastAsia" w:ascii="Times New Roman" w:hAnsi="Times New Roman" w:eastAsia="宋体"/>
          <w:b/>
          <w:sz w:val="24"/>
          <w:szCs w:val="24"/>
        </w:rPr>
        <w:t>注：</w:t>
      </w:r>
    </w:p>
    <w:p>
      <w:pPr>
        <w:spacing w:line="360" w:lineRule="auto"/>
        <w:ind w:firstLine="480" w:firstLineChars="200"/>
        <w:textAlignment w:val="baseline"/>
        <w:rPr>
          <w:rFonts w:ascii="Times New Roman" w:hAnsi="Times New Roman" w:eastAsia="宋体" w:cs="宋体"/>
          <w:sz w:val="24"/>
          <w:szCs w:val="24"/>
        </w:rPr>
      </w:pPr>
      <w:r>
        <w:rPr>
          <w:rFonts w:hint="eastAsia" w:ascii="Times New Roman" w:hAnsi="Times New Roman" w:eastAsia="宋体"/>
          <w:sz w:val="24"/>
          <w:szCs w:val="24"/>
        </w:rPr>
        <w:t>（1）</w:t>
      </w:r>
      <w:r>
        <w:rPr>
          <w:rFonts w:ascii="Times New Roman" w:hAnsi="Times New Roman" w:eastAsia="宋体"/>
          <w:sz w:val="24"/>
          <w:szCs w:val="24"/>
        </w:rPr>
        <w:t>本表</w:t>
      </w:r>
      <w:r>
        <w:rPr>
          <w:rFonts w:hint="eastAsia" w:ascii="Times New Roman" w:hAnsi="Times New Roman" w:eastAsia="宋体"/>
          <w:sz w:val="24"/>
          <w:szCs w:val="24"/>
        </w:rPr>
        <w:t>为格式表</w:t>
      </w:r>
      <w:r>
        <w:rPr>
          <w:rFonts w:ascii="Times New Roman" w:hAnsi="Times New Roman" w:eastAsia="宋体"/>
          <w:sz w:val="24"/>
          <w:szCs w:val="24"/>
        </w:rPr>
        <w:t>，</w:t>
      </w:r>
      <w:r>
        <w:rPr>
          <w:rFonts w:hint="eastAsia" w:ascii="Times New Roman" w:hAnsi="Times New Roman" w:eastAsia="宋体"/>
          <w:sz w:val="24"/>
          <w:szCs w:val="24"/>
        </w:rPr>
        <w:t>不得自行改动，必须提供</w:t>
      </w:r>
      <w:r>
        <w:rPr>
          <w:rFonts w:ascii="Times New Roman" w:hAnsi="Times New Roman" w:eastAsia="宋体"/>
          <w:sz w:val="24"/>
          <w:szCs w:val="24"/>
        </w:rPr>
        <w:t>。</w:t>
      </w:r>
    </w:p>
    <w:p>
      <w:pPr>
        <w:spacing w:line="360" w:lineRule="auto"/>
        <w:ind w:firstLine="480" w:firstLineChars="200"/>
        <w:textAlignment w:val="baseline"/>
        <w:rPr>
          <w:rFonts w:ascii="Times New Roman" w:hAnsi="Times New Roman" w:eastAsia="宋体"/>
          <w:sz w:val="24"/>
          <w:szCs w:val="24"/>
        </w:rPr>
      </w:pPr>
      <w:r>
        <w:rPr>
          <w:rFonts w:hint="eastAsia" w:ascii="Times New Roman" w:hAnsi="Times New Roman" w:eastAsia="宋体" w:cs="宋体"/>
          <w:sz w:val="24"/>
          <w:szCs w:val="24"/>
        </w:rPr>
        <w:t>（2）磋商报价的总价中应包含：</w:t>
      </w:r>
      <w:r>
        <w:rPr>
          <w:rFonts w:hint="eastAsia" w:ascii="Times New Roman" w:hAnsi="Times New Roman" w:eastAsia="宋体" w:cs="宋体"/>
          <w:kern w:val="0"/>
          <w:sz w:val="24"/>
          <w:szCs w:val="24"/>
        </w:rPr>
        <w:t>采购货物或产品的材料费、安装调试、运输到指定地点的装运费用（含装卸力资）、相关安装辅助材料费、成品保护费、竣工测试费、验收费、检测费、培训费、售后服务计划及购买、代理服务费、税金、政策性文件规定及合同包含的所有风险、责任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中标人自行承担。同时，报价也应包含合同履行过程中可能发生的一切风险。</w:t>
      </w:r>
    </w:p>
    <w:p>
      <w:pPr>
        <w:spacing w:line="360" w:lineRule="auto"/>
        <w:ind w:firstLine="482" w:firstLineChars="200"/>
        <w:textAlignment w:val="baseline"/>
        <w:rPr>
          <w:rFonts w:ascii="Times New Roman" w:hAnsi="Times New Roman" w:eastAsia="宋体"/>
          <w:b/>
          <w:sz w:val="24"/>
          <w:szCs w:val="24"/>
        </w:rPr>
      </w:pPr>
      <w:r>
        <w:rPr>
          <w:rFonts w:hint="eastAsia" w:ascii="Times New Roman" w:hAnsi="Times New Roman" w:eastAsia="宋体"/>
          <w:b/>
          <w:sz w:val="24"/>
          <w:szCs w:val="24"/>
        </w:rPr>
        <w:t>（3）</w:t>
      </w:r>
      <w:r>
        <w:rPr>
          <w:rFonts w:hint="eastAsia" w:ascii="Times New Roman" w:hAnsi="Times New Roman" w:eastAsia="宋体"/>
          <w:b/>
          <w:color w:val="000000" w:themeColor="text1"/>
          <w:sz w:val="24"/>
          <w:szCs w:val="24"/>
        </w:rPr>
        <w:t>第二次报价将在开标现场填写，响应文件密封提交时只需填写磋商报价总计（首次）。报价明细表总价金额应当与首次报价表金额相等，且第二次报价时，磋商响应报价明细表按同比例下浮。</w:t>
      </w:r>
    </w:p>
    <w:p>
      <w:pPr>
        <w:widowControl/>
        <w:jc w:val="left"/>
        <w:rPr>
          <w:rFonts w:ascii="Times New Roman" w:hAnsi="Times New Roman" w:eastAsia="宋体"/>
          <w:b/>
          <w:sz w:val="24"/>
          <w:szCs w:val="24"/>
        </w:rPr>
      </w:pPr>
      <w:r>
        <w:rPr>
          <w:rFonts w:ascii="Times New Roman" w:hAnsi="Times New Roman" w:eastAsia="宋体"/>
          <w:b/>
          <w:sz w:val="24"/>
          <w:szCs w:val="24"/>
        </w:rPr>
        <w:br w:type="page"/>
      </w:r>
    </w:p>
    <w:p>
      <w:pPr>
        <w:widowControl/>
        <w:numPr>
          <w:ilvl w:val="0"/>
          <w:numId w:val="1"/>
        </w:numPr>
        <w:spacing w:line="360" w:lineRule="auto"/>
        <w:jc w:val="center"/>
        <w:rPr>
          <w:rFonts w:ascii="Times New Roman" w:hAnsi="Times New Roman" w:eastAsia="宋体" w:cs="宋体"/>
          <w:b/>
          <w:sz w:val="24"/>
          <w:szCs w:val="24"/>
        </w:rPr>
      </w:pPr>
      <w:r>
        <w:rPr>
          <w:rFonts w:hint="eastAsia" w:ascii="Times New Roman" w:hAnsi="Times New Roman" w:eastAsia="宋体" w:cs="宋体"/>
          <w:b/>
          <w:sz w:val="24"/>
          <w:szCs w:val="24"/>
        </w:rPr>
        <w:t>磋商响应报价明细表</w:t>
      </w:r>
    </w:p>
    <w:p>
      <w:pPr>
        <w:widowControl/>
        <w:spacing w:line="360" w:lineRule="auto"/>
        <w:jc w:val="center"/>
        <w:rPr>
          <w:rFonts w:ascii="Times New Roman" w:hAnsi="Times New Roman" w:eastAsia="宋体"/>
        </w:rPr>
      </w:pPr>
      <w:r>
        <w:rPr>
          <w:rFonts w:hint="eastAsia" w:ascii="Times New Roman" w:hAnsi="Times New Roman" w:eastAsia="宋体" w:cs="宋体"/>
          <w:b/>
          <w:sz w:val="24"/>
          <w:szCs w:val="24"/>
        </w:rPr>
        <w:t>（格式自拟）</w:t>
      </w:r>
    </w:p>
    <w:p>
      <w:pPr>
        <w:pStyle w:val="2"/>
        <w:ind w:left="0" w:leftChars="0" w:firstLine="0" w:firstLineChars="0"/>
        <w:rPr>
          <w:rFonts w:ascii="Times New Roman" w:hAnsi="Times New Roman" w:eastAsia="宋体"/>
        </w:rPr>
      </w:pPr>
    </w:p>
    <w:sectPr>
      <w:footerReference r:id="rId3" w:type="default"/>
      <w:pgSz w:w="11906" w:h="16838"/>
      <w:pgMar w:top="1418" w:right="1588" w:bottom="1418" w:left="1588"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1</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CF87C"/>
    <w:multiLevelType w:val="singleLevel"/>
    <w:tmpl w:val="167CF87C"/>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Y5NzRkNjBkNGM1MDZjMGQ3YmZiMTBjOGQ5ZTk0YjAifQ=="/>
  </w:docVars>
  <w:rsids>
    <w:rsidRoot w:val="0042773D"/>
    <w:rsid w:val="00005621"/>
    <w:rsid w:val="000105F3"/>
    <w:rsid w:val="000116CF"/>
    <w:rsid w:val="00011718"/>
    <w:rsid w:val="00030656"/>
    <w:rsid w:val="00042E68"/>
    <w:rsid w:val="00045AD0"/>
    <w:rsid w:val="00045B8C"/>
    <w:rsid w:val="00062F66"/>
    <w:rsid w:val="000633EC"/>
    <w:rsid w:val="00066F50"/>
    <w:rsid w:val="00076D60"/>
    <w:rsid w:val="0009698F"/>
    <w:rsid w:val="000B6C99"/>
    <w:rsid w:val="000D3147"/>
    <w:rsid w:val="000E2EB7"/>
    <w:rsid w:val="000F0E95"/>
    <w:rsid w:val="000F3E59"/>
    <w:rsid w:val="00111B21"/>
    <w:rsid w:val="0015616E"/>
    <w:rsid w:val="001656E3"/>
    <w:rsid w:val="0018047F"/>
    <w:rsid w:val="0019545C"/>
    <w:rsid w:val="0019651E"/>
    <w:rsid w:val="001B56D8"/>
    <w:rsid w:val="001B7B5D"/>
    <w:rsid w:val="001E6C58"/>
    <w:rsid w:val="001F4D5A"/>
    <w:rsid w:val="002034D1"/>
    <w:rsid w:val="00203F3E"/>
    <w:rsid w:val="00205384"/>
    <w:rsid w:val="002063EF"/>
    <w:rsid w:val="002219C9"/>
    <w:rsid w:val="00231ACD"/>
    <w:rsid w:val="00234A6B"/>
    <w:rsid w:val="002375BD"/>
    <w:rsid w:val="00240734"/>
    <w:rsid w:val="002468A6"/>
    <w:rsid w:val="002707F5"/>
    <w:rsid w:val="00285BC2"/>
    <w:rsid w:val="00286641"/>
    <w:rsid w:val="002A1341"/>
    <w:rsid w:val="002B6511"/>
    <w:rsid w:val="002C01E3"/>
    <w:rsid w:val="002E1BA8"/>
    <w:rsid w:val="002E40A5"/>
    <w:rsid w:val="002F6EFE"/>
    <w:rsid w:val="002F7C52"/>
    <w:rsid w:val="002F7F56"/>
    <w:rsid w:val="00331324"/>
    <w:rsid w:val="00362918"/>
    <w:rsid w:val="00364AB1"/>
    <w:rsid w:val="00370501"/>
    <w:rsid w:val="00384F42"/>
    <w:rsid w:val="003A3B0E"/>
    <w:rsid w:val="003A55F0"/>
    <w:rsid w:val="003B571B"/>
    <w:rsid w:val="003C18C2"/>
    <w:rsid w:val="003C3D48"/>
    <w:rsid w:val="003C6028"/>
    <w:rsid w:val="003D4871"/>
    <w:rsid w:val="003D6A6B"/>
    <w:rsid w:val="003E584E"/>
    <w:rsid w:val="00403F33"/>
    <w:rsid w:val="004069DE"/>
    <w:rsid w:val="00414EA1"/>
    <w:rsid w:val="004254FC"/>
    <w:rsid w:val="0042773D"/>
    <w:rsid w:val="004413CE"/>
    <w:rsid w:val="00447FFB"/>
    <w:rsid w:val="004527FC"/>
    <w:rsid w:val="00454AC9"/>
    <w:rsid w:val="00475EA1"/>
    <w:rsid w:val="004867BB"/>
    <w:rsid w:val="004A2D24"/>
    <w:rsid w:val="004A2F36"/>
    <w:rsid w:val="004B122F"/>
    <w:rsid w:val="004B496E"/>
    <w:rsid w:val="004D117D"/>
    <w:rsid w:val="004D5E42"/>
    <w:rsid w:val="005078ED"/>
    <w:rsid w:val="00576289"/>
    <w:rsid w:val="005841A4"/>
    <w:rsid w:val="005A31EB"/>
    <w:rsid w:val="005C3634"/>
    <w:rsid w:val="005C5B61"/>
    <w:rsid w:val="005D1282"/>
    <w:rsid w:val="005D73C6"/>
    <w:rsid w:val="00603E35"/>
    <w:rsid w:val="00631831"/>
    <w:rsid w:val="00633A81"/>
    <w:rsid w:val="00645528"/>
    <w:rsid w:val="006902A0"/>
    <w:rsid w:val="00693857"/>
    <w:rsid w:val="00694D70"/>
    <w:rsid w:val="00695A9F"/>
    <w:rsid w:val="006A5E64"/>
    <w:rsid w:val="006B4338"/>
    <w:rsid w:val="006C59BF"/>
    <w:rsid w:val="006D3A4D"/>
    <w:rsid w:val="006D5C68"/>
    <w:rsid w:val="00734530"/>
    <w:rsid w:val="00744D06"/>
    <w:rsid w:val="0077451C"/>
    <w:rsid w:val="00785C7E"/>
    <w:rsid w:val="007B5ED6"/>
    <w:rsid w:val="007C52C4"/>
    <w:rsid w:val="007D447F"/>
    <w:rsid w:val="007D4AD9"/>
    <w:rsid w:val="007D501E"/>
    <w:rsid w:val="007D7533"/>
    <w:rsid w:val="007E4882"/>
    <w:rsid w:val="007F782E"/>
    <w:rsid w:val="0082282D"/>
    <w:rsid w:val="008324DA"/>
    <w:rsid w:val="00881F22"/>
    <w:rsid w:val="00884AF5"/>
    <w:rsid w:val="00891163"/>
    <w:rsid w:val="008913C5"/>
    <w:rsid w:val="008B1772"/>
    <w:rsid w:val="008B53C9"/>
    <w:rsid w:val="008C0188"/>
    <w:rsid w:val="008D5C8C"/>
    <w:rsid w:val="008D7EBD"/>
    <w:rsid w:val="008F46B1"/>
    <w:rsid w:val="008F79F2"/>
    <w:rsid w:val="00905A18"/>
    <w:rsid w:val="00910A22"/>
    <w:rsid w:val="00911A50"/>
    <w:rsid w:val="00927F05"/>
    <w:rsid w:val="009317AE"/>
    <w:rsid w:val="0094400C"/>
    <w:rsid w:val="00951E5B"/>
    <w:rsid w:val="00956F45"/>
    <w:rsid w:val="00967875"/>
    <w:rsid w:val="00975BB0"/>
    <w:rsid w:val="009823DF"/>
    <w:rsid w:val="009948AB"/>
    <w:rsid w:val="0099591F"/>
    <w:rsid w:val="009A4AAF"/>
    <w:rsid w:val="009D17F8"/>
    <w:rsid w:val="009F3280"/>
    <w:rsid w:val="00A00280"/>
    <w:rsid w:val="00A46B05"/>
    <w:rsid w:val="00A775B1"/>
    <w:rsid w:val="00AA53A1"/>
    <w:rsid w:val="00AB3858"/>
    <w:rsid w:val="00AB397A"/>
    <w:rsid w:val="00AC1356"/>
    <w:rsid w:val="00AC167D"/>
    <w:rsid w:val="00AD0E54"/>
    <w:rsid w:val="00AF67B7"/>
    <w:rsid w:val="00B1621D"/>
    <w:rsid w:val="00B24F83"/>
    <w:rsid w:val="00B36A38"/>
    <w:rsid w:val="00B50963"/>
    <w:rsid w:val="00B5131F"/>
    <w:rsid w:val="00B523EC"/>
    <w:rsid w:val="00B54D9A"/>
    <w:rsid w:val="00B76D85"/>
    <w:rsid w:val="00B97CDB"/>
    <w:rsid w:val="00BA0DE5"/>
    <w:rsid w:val="00BA502C"/>
    <w:rsid w:val="00BB48A3"/>
    <w:rsid w:val="00BC3246"/>
    <w:rsid w:val="00C02F17"/>
    <w:rsid w:val="00C047C7"/>
    <w:rsid w:val="00C74551"/>
    <w:rsid w:val="00C87961"/>
    <w:rsid w:val="00C96A7A"/>
    <w:rsid w:val="00CA125B"/>
    <w:rsid w:val="00CA3A6E"/>
    <w:rsid w:val="00CB2559"/>
    <w:rsid w:val="00CC7436"/>
    <w:rsid w:val="00CD1E8F"/>
    <w:rsid w:val="00CF0C61"/>
    <w:rsid w:val="00CF19FE"/>
    <w:rsid w:val="00CF4BAE"/>
    <w:rsid w:val="00D1283C"/>
    <w:rsid w:val="00D160B0"/>
    <w:rsid w:val="00D31ACC"/>
    <w:rsid w:val="00D520F7"/>
    <w:rsid w:val="00D56C3B"/>
    <w:rsid w:val="00D66756"/>
    <w:rsid w:val="00D82A58"/>
    <w:rsid w:val="00D8401B"/>
    <w:rsid w:val="00D977B3"/>
    <w:rsid w:val="00DB6573"/>
    <w:rsid w:val="00DC04E7"/>
    <w:rsid w:val="00DC24D0"/>
    <w:rsid w:val="00DC7ABA"/>
    <w:rsid w:val="00E03D8E"/>
    <w:rsid w:val="00E07EEE"/>
    <w:rsid w:val="00E86D63"/>
    <w:rsid w:val="00E90F14"/>
    <w:rsid w:val="00E91EDF"/>
    <w:rsid w:val="00F04F82"/>
    <w:rsid w:val="00F1322E"/>
    <w:rsid w:val="00F16606"/>
    <w:rsid w:val="00F357CB"/>
    <w:rsid w:val="00F5137C"/>
    <w:rsid w:val="00F63B31"/>
    <w:rsid w:val="00F825EC"/>
    <w:rsid w:val="00FA0374"/>
    <w:rsid w:val="00FB003F"/>
    <w:rsid w:val="00FC398C"/>
    <w:rsid w:val="00FD532E"/>
    <w:rsid w:val="00FD737A"/>
    <w:rsid w:val="00FE35B6"/>
    <w:rsid w:val="15F6320B"/>
    <w:rsid w:val="322E658F"/>
    <w:rsid w:val="3329796B"/>
    <w:rsid w:val="34700A2F"/>
    <w:rsid w:val="411779E3"/>
    <w:rsid w:val="4AC91B6E"/>
    <w:rsid w:val="712D5BF6"/>
    <w:rsid w:val="72BF1288"/>
    <w:rsid w:val="7EFD39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keepLines/>
      <w:spacing w:before="340" w:after="330" w:line="578" w:lineRule="auto"/>
      <w:outlineLvl w:val="0"/>
    </w:pPr>
    <w:rPr>
      <w:rFonts w:ascii="Calibri" w:hAnsi="Calibri" w:eastAsia="楷体_GB2312" w:cs="Times New Roman"/>
      <w:b/>
      <w:kern w:val="44"/>
      <w:sz w:val="44"/>
      <w:szCs w:val="20"/>
    </w:rPr>
  </w:style>
  <w:style w:type="paragraph" w:styleId="5">
    <w:name w:val="heading 2"/>
    <w:basedOn w:val="1"/>
    <w:next w:val="1"/>
    <w:link w:val="27"/>
    <w:unhideWhenUsed/>
    <w:qFormat/>
    <w:uiPriority w:val="9"/>
    <w:pPr>
      <w:keepNext/>
      <w:keepLines/>
      <w:spacing w:line="360"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6">
    <w:name w:val="Normal Indent"/>
    <w:basedOn w:val="1"/>
    <w:link w:val="25"/>
    <w:qFormat/>
    <w:uiPriority w:val="0"/>
    <w:pPr>
      <w:adjustRightInd w:val="0"/>
      <w:ind w:firstLine="420"/>
      <w:jc w:val="left"/>
      <w:textAlignment w:val="baseline"/>
    </w:pPr>
    <w:rPr>
      <w:rFonts w:ascii="Calibri" w:hAnsi="Calibri" w:eastAsia="楷体_GB2312" w:cs="Times New Roman"/>
      <w:kern w:val="0"/>
      <w:sz w:val="24"/>
      <w:szCs w:val="20"/>
    </w:rPr>
  </w:style>
  <w:style w:type="paragraph" w:styleId="7">
    <w:name w:val="Document Map"/>
    <w:basedOn w:val="1"/>
    <w:link w:val="28"/>
    <w:semiHidden/>
    <w:unhideWhenUsed/>
    <w:qFormat/>
    <w:uiPriority w:val="99"/>
    <w:rPr>
      <w:rFonts w:ascii="宋体" w:eastAsia="宋体"/>
      <w:sz w:val="18"/>
      <w:szCs w:val="18"/>
    </w:rPr>
  </w:style>
  <w:style w:type="paragraph" w:styleId="8">
    <w:name w:val="annotation text"/>
    <w:basedOn w:val="1"/>
    <w:link w:val="31"/>
    <w:semiHidden/>
    <w:unhideWhenUsed/>
    <w:qFormat/>
    <w:uiPriority w:val="99"/>
    <w:pPr>
      <w:jc w:val="left"/>
    </w:pPr>
  </w:style>
  <w:style w:type="paragraph" w:styleId="9">
    <w:name w:val="index 4"/>
    <w:basedOn w:val="1"/>
    <w:next w:val="1"/>
    <w:qFormat/>
    <w:uiPriority w:val="0"/>
    <w:pPr>
      <w:ind w:left="1260"/>
    </w:pPr>
    <w:rPr>
      <w:rFonts w:ascii="Calibri" w:hAnsi="Calibri" w:eastAsia="宋体" w:cs="Times New Roman"/>
      <w:szCs w:val="20"/>
    </w:rPr>
  </w:style>
  <w:style w:type="paragraph" w:styleId="10">
    <w:name w:val="toc 3"/>
    <w:basedOn w:val="1"/>
    <w:next w:val="1"/>
    <w:qFormat/>
    <w:uiPriority w:val="0"/>
    <w:pPr>
      <w:ind w:left="840" w:leftChars="400"/>
    </w:pPr>
    <w:rPr>
      <w:rFonts w:ascii="Calibri" w:hAnsi="Calibri" w:eastAsia="宋体" w:cs="Times New Roman"/>
      <w:szCs w:val="20"/>
    </w:rPr>
  </w:style>
  <w:style w:type="paragraph" w:styleId="11">
    <w:name w:val="Plain Text"/>
    <w:basedOn w:val="1"/>
    <w:next w:val="1"/>
    <w:qFormat/>
    <w:uiPriority w:val="0"/>
    <w:rPr>
      <w:rFonts w:ascii="宋体" w:hAnsi="Courier New" w:eastAsia="宋体" w:cs="Times New Roman"/>
      <w:szCs w:val="20"/>
    </w:rPr>
  </w:style>
  <w:style w:type="paragraph" w:styleId="12">
    <w:name w:val="Balloon Text"/>
    <w:basedOn w:val="1"/>
    <w:link w:val="30"/>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adjustRightInd w:val="0"/>
      <w:jc w:val="left"/>
      <w:textAlignment w:val="baseline"/>
    </w:pPr>
    <w:rPr>
      <w:rFonts w:ascii="Calibri" w:hAnsi="Calibri" w:eastAsia="楷体_GB2312" w:cs="Times New Roman"/>
      <w:sz w:val="24"/>
      <w:szCs w:val="20"/>
    </w:rPr>
  </w:style>
  <w:style w:type="paragraph" w:styleId="16">
    <w:name w:val="Normal (Web)"/>
    <w:basedOn w:val="1"/>
    <w:unhideWhenUsed/>
    <w:qFormat/>
    <w:uiPriority w:val="99"/>
    <w:pPr>
      <w:spacing w:before="100" w:beforeAutospacing="1" w:after="100" w:afterAutospacing="1"/>
      <w:jc w:val="left"/>
    </w:pPr>
    <w:rPr>
      <w:rFonts w:ascii="Calibri" w:hAnsi="Calibri" w:eastAsia="宋体" w:cs="Times New Roman"/>
      <w:kern w:val="0"/>
      <w:sz w:val="24"/>
      <w:szCs w:val="20"/>
    </w:rPr>
  </w:style>
  <w:style w:type="paragraph" w:styleId="17">
    <w:name w:val="annotation subject"/>
    <w:basedOn w:val="8"/>
    <w:next w:val="8"/>
    <w:link w:val="32"/>
    <w:semiHidden/>
    <w:unhideWhenUsed/>
    <w:qFormat/>
    <w:uiPriority w:val="99"/>
    <w:rPr>
      <w:b/>
      <w:bCs/>
    </w:rPr>
  </w:style>
  <w:style w:type="table" w:styleId="19">
    <w:name w:val="Table Grid"/>
    <w:basedOn w:val="1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4"/>
    <w:qFormat/>
    <w:uiPriority w:val="99"/>
    <w:rPr>
      <w:sz w:val="18"/>
      <w:szCs w:val="18"/>
    </w:rPr>
  </w:style>
  <w:style w:type="character" w:customStyle="1" w:styleId="24">
    <w:name w:val="页脚 Char"/>
    <w:basedOn w:val="20"/>
    <w:link w:val="13"/>
    <w:qFormat/>
    <w:uiPriority w:val="99"/>
    <w:rPr>
      <w:sz w:val="18"/>
      <w:szCs w:val="18"/>
    </w:rPr>
  </w:style>
  <w:style w:type="character" w:customStyle="1" w:styleId="25">
    <w:name w:val="正文缩进 Char"/>
    <w:link w:val="6"/>
    <w:qFormat/>
    <w:uiPriority w:val="0"/>
    <w:rPr>
      <w:rFonts w:ascii="Calibri" w:hAnsi="Calibri" w:eastAsia="楷体_GB2312" w:cs="Times New Roman"/>
      <w:kern w:val="0"/>
      <w:sz w:val="24"/>
      <w:szCs w:val="20"/>
    </w:rPr>
  </w:style>
  <w:style w:type="character" w:customStyle="1" w:styleId="26">
    <w:name w:val="标题 1 Char"/>
    <w:basedOn w:val="20"/>
    <w:link w:val="4"/>
    <w:qFormat/>
    <w:uiPriority w:val="0"/>
    <w:rPr>
      <w:rFonts w:ascii="Calibri" w:hAnsi="Calibri" w:eastAsia="楷体_GB2312" w:cs="Times New Roman"/>
      <w:b/>
      <w:kern w:val="44"/>
      <w:sz w:val="44"/>
      <w:szCs w:val="20"/>
    </w:rPr>
  </w:style>
  <w:style w:type="character" w:customStyle="1" w:styleId="27">
    <w:name w:val="标题 2 Char"/>
    <w:basedOn w:val="20"/>
    <w:link w:val="5"/>
    <w:qFormat/>
    <w:uiPriority w:val="9"/>
    <w:rPr>
      <w:rFonts w:asciiTheme="majorHAnsi" w:hAnsiTheme="majorHAnsi" w:eastAsiaTheme="majorEastAsia" w:cstheme="majorBidi"/>
      <w:b/>
      <w:bCs/>
      <w:sz w:val="32"/>
      <w:szCs w:val="32"/>
    </w:rPr>
  </w:style>
  <w:style w:type="character" w:customStyle="1" w:styleId="28">
    <w:name w:val="文档结构图 Char"/>
    <w:basedOn w:val="20"/>
    <w:link w:val="7"/>
    <w:semiHidden/>
    <w:qFormat/>
    <w:uiPriority w:val="99"/>
    <w:rPr>
      <w:rFonts w:ascii="宋体" w:eastAsia="宋体"/>
      <w:sz w:val="18"/>
      <w:szCs w:val="18"/>
    </w:rPr>
  </w:style>
  <w:style w:type="character" w:customStyle="1" w:styleId="29">
    <w:name w:val="NormalCharacter"/>
    <w:qFormat/>
    <w:uiPriority w:val="0"/>
    <w:rPr>
      <w:rFonts w:ascii="Times New Roman" w:hAnsi="Times New Roman" w:eastAsia="宋体" w:cs="Times New Roman"/>
    </w:rPr>
  </w:style>
  <w:style w:type="character" w:customStyle="1" w:styleId="30">
    <w:name w:val="批注框文本 Char"/>
    <w:basedOn w:val="20"/>
    <w:link w:val="12"/>
    <w:semiHidden/>
    <w:qFormat/>
    <w:uiPriority w:val="99"/>
    <w:rPr>
      <w:kern w:val="2"/>
      <w:sz w:val="18"/>
      <w:szCs w:val="18"/>
    </w:rPr>
  </w:style>
  <w:style w:type="character" w:customStyle="1" w:styleId="31">
    <w:name w:val="批注文字 Char"/>
    <w:basedOn w:val="20"/>
    <w:link w:val="8"/>
    <w:semiHidden/>
    <w:qFormat/>
    <w:uiPriority w:val="99"/>
    <w:rPr>
      <w:kern w:val="2"/>
      <w:sz w:val="21"/>
      <w:szCs w:val="22"/>
    </w:rPr>
  </w:style>
  <w:style w:type="character" w:customStyle="1" w:styleId="32">
    <w:name w:val="批注主题 Char"/>
    <w:basedOn w:val="31"/>
    <w:link w:val="17"/>
    <w:semiHidden/>
    <w:qFormat/>
    <w:uiPriority w:val="99"/>
    <w:rPr>
      <w:b/>
      <w:bCs/>
      <w:kern w:val="2"/>
      <w:sz w:val="21"/>
      <w:szCs w:val="22"/>
    </w:rPr>
  </w:style>
  <w:style w:type="character" w:customStyle="1" w:styleId="33">
    <w:name w:val="普通正文 Char"/>
    <w:link w:val="34"/>
    <w:qFormat/>
    <w:uiPriority w:val="0"/>
    <w:rPr>
      <w:rFonts w:ascii="Arial" w:hAnsi="Arial"/>
      <w:sz w:val="24"/>
      <w:szCs w:val="24"/>
    </w:rPr>
  </w:style>
  <w:style w:type="paragraph" w:customStyle="1" w:styleId="34">
    <w:name w:val="普通正文"/>
    <w:basedOn w:val="1"/>
    <w:link w:val="33"/>
    <w:qFormat/>
    <w:uiPriority w:val="0"/>
    <w:pPr>
      <w:adjustRightInd w:val="0"/>
      <w:spacing w:before="120" w:after="120" w:line="360" w:lineRule="auto"/>
      <w:ind w:left="-2" w:right="120" w:firstLine="480"/>
      <w:jc w:val="center"/>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15651</Words>
  <Characters>15948</Characters>
  <Lines>119</Lines>
  <Paragraphs>33</Paragraphs>
  <TotalTime>79</TotalTime>
  <ScaleCrop>false</ScaleCrop>
  <LinksUpToDate>false</LinksUpToDate>
  <CharactersWithSpaces>16066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2022-06-28T09:31:00Z</dcterms:created>
  <dc:creator>Administrator</dc:creator>
  <cp:lastModifiedBy>小白</cp:lastModifiedBy>
  <dcterms:modified xsi:type="dcterms:W3CDTF">2022-07-01T08:21:30Z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C12715B770C9490C98D7BDB5AACE502D</vt:lpwstr>
  </property>
</Properties>
</file>