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37"/>
        <w:spacing w:before="0" w:after="0"/>
        <w:ind w:firstLine="0"/>
        <w:rPr>
          <w:rFonts w:hint="eastAsia" w:ascii="Times New Roman" w:hAnsi="Times New Roman" w:eastAsia="宋体"/>
          <w:b/>
          <w:sz w:val="56"/>
          <w:szCs w:val="56"/>
        </w:rPr>
      </w:pPr>
      <w:r>
        <w:rPr>
          <w:rFonts w:hint="eastAsia" w:ascii="Times New Roman" w:hAnsi="Times New Roman" w:eastAsia="宋体"/>
          <w:b/>
          <w:sz w:val="56"/>
          <w:szCs w:val="56"/>
        </w:rPr>
        <w:t>南通市第三人民医院</w:t>
      </w:r>
    </w:p>
    <w:p>
      <w:pPr>
        <w:pStyle w:val="37"/>
        <w:spacing w:before="0" w:after="0"/>
        <w:ind w:firstLine="0"/>
        <w:rPr>
          <w:rFonts w:ascii="Times New Roman" w:hAnsi="Times New Roman" w:eastAsia="宋体"/>
          <w:b/>
          <w:sz w:val="56"/>
          <w:szCs w:val="56"/>
        </w:rPr>
      </w:pPr>
      <w:r>
        <w:rPr>
          <w:rFonts w:hint="eastAsia" w:ascii="Times New Roman" w:hAnsi="Times New Roman" w:eastAsia="宋体"/>
          <w:b/>
          <w:sz w:val="56"/>
          <w:szCs w:val="56"/>
          <w:lang w:eastAsia="zh-CN"/>
        </w:rPr>
        <w:t>导医外包服务</w:t>
      </w:r>
      <w:r>
        <w:rPr>
          <w:rFonts w:hint="eastAsia" w:ascii="Times New Roman" w:hAnsi="Times New Roman" w:eastAsia="宋体"/>
          <w:b/>
          <w:sz w:val="56"/>
          <w:szCs w:val="56"/>
        </w:rPr>
        <w:t>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both"/>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hint="eastAsia"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hint="eastAsia" w:ascii="Times New Roman" w:hAnsi="Times New Roman" w:eastAsia="宋体" w:cs="宋体"/>
          <w:b/>
          <w:sz w:val="30"/>
          <w:szCs w:val="30"/>
        </w:rPr>
      </w:pPr>
      <w:r>
        <w:rPr>
          <w:rFonts w:hint="eastAsia" w:ascii="Times New Roman" w:hAnsi="Times New Roman" w:eastAsia="宋体" w:cs="宋体"/>
          <w:b/>
          <w:sz w:val="30"/>
          <w:szCs w:val="30"/>
        </w:rPr>
        <w:t>2023年</w:t>
      </w:r>
      <w:r>
        <w:rPr>
          <w:rFonts w:hint="eastAsia" w:ascii="Times New Roman" w:hAnsi="Times New Roman" w:eastAsia="宋体" w:cs="宋体"/>
          <w:b/>
          <w:sz w:val="30"/>
          <w:szCs w:val="30"/>
          <w:lang w:val="en-US" w:eastAsia="zh-CN"/>
        </w:rPr>
        <w:t>08</w:t>
      </w:r>
      <w:r>
        <w:rPr>
          <w:rFonts w:hint="eastAsia" w:ascii="Times New Roman" w:hAnsi="Times New Roman" w:eastAsia="宋体" w:cs="宋体"/>
          <w:b/>
          <w:sz w:val="30"/>
          <w:szCs w:val="30"/>
        </w:rPr>
        <w:t>月</w:t>
      </w:r>
    </w:p>
    <w:p>
      <w:r>
        <w:rPr>
          <w:rFonts w:hint="eastAsia" w:ascii="Times New Roman" w:hAnsi="Times New Roman" w:eastAsia="宋体" w:cs="宋体"/>
          <w:b/>
          <w:sz w:val="30"/>
          <w:szCs w:val="30"/>
        </w:rPr>
        <w:br w:type="page"/>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overflowPunct w:val="0"/>
        <w:spacing w:line="360" w:lineRule="auto"/>
        <w:ind w:firstLine="0"/>
        <w:jc w:val="center"/>
        <w:rPr>
          <w:rFonts w:ascii="Times New Roman" w:hAnsi="Times New Roman" w:eastAsia="宋体"/>
          <w:sz w:val="30"/>
        </w:rPr>
      </w:pP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7"/>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0"/>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u w:val="single"/>
        </w:rPr>
      </w:pPr>
      <w:r>
        <w:rPr>
          <w:rFonts w:hint="eastAsia" w:ascii="Times New Roman" w:hAnsi="Times New Roman" w:eastAsia="宋体" w:cs="Times New Roman"/>
          <w:sz w:val="24"/>
          <w:szCs w:val="24"/>
          <w:lang w:eastAsia="zh-CN"/>
        </w:rPr>
        <w:t>南通市第三人民医院导医外包服务项目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u w:val="single"/>
        </w:rPr>
        <w:t>2023</w:t>
      </w:r>
      <w:r>
        <w:rPr>
          <w:rFonts w:hint="eastAsia" w:ascii="Times New Roman" w:hAnsi="Times New Roman" w:eastAsia="宋体" w:cs="宋体"/>
          <w:bCs/>
          <w:sz w:val="24"/>
          <w:szCs w:val="24"/>
          <w:u w:val="single"/>
        </w:rPr>
        <w:t>年</w:t>
      </w:r>
      <w:r>
        <w:rPr>
          <w:rFonts w:hint="eastAsia" w:ascii="Times New Roman" w:hAnsi="Times New Roman" w:eastAsia="宋体" w:cs="宋体"/>
          <w:bCs/>
          <w:sz w:val="24"/>
          <w:szCs w:val="24"/>
          <w:u w:val="single"/>
          <w:lang w:val="en-US" w:eastAsia="zh-CN"/>
        </w:rPr>
        <w:t>08</w:t>
      </w:r>
      <w:r>
        <w:rPr>
          <w:rFonts w:hint="eastAsia" w:ascii="Times New Roman" w:hAnsi="Times New Roman" w:eastAsia="宋体" w:cs="宋体"/>
          <w:bCs/>
          <w:sz w:val="24"/>
          <w:szCs w:val="24"/>
          <w:u w:val="single"/>
        </w:rPr>
        <w:t>月</w:t>
      </w:r>
      <w:r>
        <w:rPr>
          <w:rFonts w:hint="eastAsia" w:ascii="Times New Roman" w:hAnsi="Times New Roman" w:eastAsia="宋体" w:cs="宋体"/>
          <w:bCs/>
          <w:sz w:val="24"/>
          <w:szCs w:val="24"/>
          <w:u w:val="single"/>
          <w:lang w:val="en-US" w:eastAsia="zh-CN"/>
        </w:rPr>
        <w:t>29</w:t>
      </w:r>
      <w:r>
        <w:rPr>
          <w:rFonts w:hint="eastAsia" w:ascii="Times New Roman" w:hAnsi="Times New Roman" w:eastAsia="宋体" w:cs="宋体"/>
          <w:bCs/>
          <w:sz w:val="24"/>
          <w:szCs w:val="24"/>
          <w:u w:val="single"/>
        </w:rPr>
        <w:t>日1</w:t>
      </w:r>
      <w:r>
        <w:rPr>
          <w:rFonts w:hint="eastAsia" w:ascii="Times New Roman" w:hAnsi="Times New Roman" w:eastAsia="宋体" w:cs="宋体"/>
          <w:bCs/>
          <w:sz w:val="24"/>
          <w:szCs w:val="24"/>
          <w:u w:val="single"/>
          <w:lang w:val="en-US" w:eastAsia="zh-CN"/>
        </w:rPr>
        <w:t>4</w:t>
      </w:r>
      <w:r>
        <w:rPr>
          <w:rFonts w:hint="eastAsia" w:ascii="Times New Roman" w:hAnsi="Times New Roman" w:eastAsia="宋体" w:cs="宋体"/>
          <w:bCs/>
          <w:sz w:val="24"/>
          <w:szCs w:val="24"/>
          <w:u w:val="single"/>
        </w:rPr>
        <w:t>时00分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2、项目名称：</w:t>
      </w:r>
      <w:r>
        <w:rPr>
          <w:rFonts w:hint="eastAsia" w:ascii="Times New Roman" w:hAnsi="Times New Roman" w:eastAsia="宋体" w:cs="Times New Roman"/>
          <w:sz w:val="24"/>
          <w:szCs w:val="24"/>
          <w:lang w:eastAsia="zh-CN"/>
        </w:rPr>
        <w:t>南通市第三人民医院导医外包服务项目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3、采购人式：□竞争性谈判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u w:val="single"/>
          <w:lang w:val="en-US" w:eastAsia="zh-CN"/>
        </w:rPr>
        <w:t>49.9</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万元</w:t>
      </w:r>
    </w:p>
    <w:p>
      <w:pPr>
        <w:spacing w:line="360" w:lineRule="auto"/>
        <w:ind w:firstLine="480" w:firstLineChars="200"/>
        <w:rPr>
          <w:rFonts w:ascii="Times New Roman" w:hAnsi="Times New Roman" w:eastAsia="宋体" w:cs="宋体"/>
          <w:sz w:val="24"/>
          <w:szCs w:val="24"/>
          <w:highlight w:val="yellow"/>
          <w:u w:val="single"/>
        </w:rPr>
      </w:pPr>
      <w:r>
        <w:rPr>
          <w:rFonts w:hint="eastAsia" w:ascii="Times New Roman" w:hAnsi="Times New Roman" w:eastAsia="宋体" w:cs="宋体"/>
          <w:sz w:val="24"/>
          <w:szCs w:val="24"/>
        </w:rPr>
        <w:t>5、最高限价：</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u w:val="single"/>
          <w:lang w:val="en-US" w:eastAsia="zh-CN"/>
        </w:rPr>
        <w:t>49.9</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w:t>
      </w:r>
      <w:r>
        <w:rPr>
          <w:rFonts w:hint="eastAsia" w:ascii="Times New Roman" w:hAnsi="Times New Roman" w:eastAsia="宋体" w:cs="宋体"/>
          <w:sz w:val="24"/>
          <w:szCs w:val="24"/>
          <w:lang w:eastAsia="zh-CN"/>
        </w:rPr>
        <w:t>为</w:t>
      </w:r>
      <w:r>
        <w:rPr>
          <w:rFonts w:hint="eastAsia" w:eastAsia="宋体" w:cs="宋体"/>
          <w:color w:val="000000"/>
          <w:sz w:val="24"/>
          <w:szCs w:val="24"/>
        </w:rPr>
        <w:t>南通市第</w:t>
      </w:r>
      <w:r>
        <w:rPr>
          <w:rFonts w:hint="eastAsia" w:eastAsia="宋体" w:cs="宋体"/>
          <w:color w:val="000000"/>
          <w:sz w:val="24"/>
          <w:szCs w:val="24"/>
          <w:lang w:eastAsia="zh-CN"/>
        </w:rPr>
        <w:t>三</w:t>
      </w:r>
      <w:r>
        <w:rPr>
          <w:rFonts w:hint="eastAsia" w:eastAsia="宋体" w:cs="宋体"/>
          <w:color w:val="000000"/>
          <w:sz w:val="24"/>
          <w:szCs w:val="24"/>
        </w:rPr>
        <w:t>人民医院</w:t>
      </w:r>
      <w:r>
        <w:rPr>
          <w:rFonts w:hint="eastAsia" w:eastAsia="宋体" w:cs="宋体"/>
          <w:color w:val="000000"/>
          <w:sz w:val="24"/>
          <w:szCs w:val="24"/>
          <w:lang w:eastAsia="zh-CN"/>
        </w:rPr>
        <w:t>提供导医外包服务，包括但不限于</w:t>
      </w:r>
      <w:r>
        <w:rPr>
          <w:rFonts w:hint="eastAsia" w:ascii="宋体" w:hAnsi="宋体" w:eastAsia="宋体" w:cs="宋体"/>
          <w:color w:val="000000"/>
          <w:sz w:val="24"/>
          <w:szCs w:val="24"/>
        </w:rPr>
        <w:t>医院综合服务中心、一站式服务中心、医院门急诊科室、医院医技科室，医院自助服务区等</w:t>
      </w:r>
      <w:r>
        <w:rPr>
          <w:rFonts w:hint="eastAsia" w:ascii="Times New Roman" w:hAnsi="Times New Roman" w:eastAsia="宋体" w:cs="宋体"/>
          <w:sz w:val="24"/>
          <w:szCs w:val="24"/>
        </w:rPr>
        <w:t>；具体内容详见竞争性磋商文件第三章项目需求。</w:t>
      </w:r>
    </w:p>
    <w:p>
      <w:pPr>
        <w:spacing w:line="360" w:lineRule="auto"/>
        <w:ind w:firstLine="480" w:firstLineChars="200"/>
        <w:rPr>
          <w:rFonts w:hint="eastAsia" w:eastAsia="宋体" w:cs="宋体"/>
          <w:color w:val="000000"/>
          <w:sz w:val="24"/>
          <w:szCs w:val="24"/>
        </w:rPr>
      </w:pPr>
      <w:r>
        <w:rPr>
          <w:rFonts w:hint="eastAsia" w:ascii="Times New Roman" w:hAnsi="Times New Roman" w:eastAsia="宋体" w:cs="宋体"/>
          <w:sz w:val="24"/>
          <w:szCs w:val="24"/>
        </w:rPr>
        <w:t>7、</w:t>
      </w:r>
      <w:r>
        <w:rPr>
          <w:rFonts w:hint="eastAsia" w:eastAsia="宋体" w:cs="宋体"/>
          <w:color w:val="000000"/>
          <w:sz w:val="24"/>
          <w:szCs w:val="24"/>
        </w:rPr>
        <w:t>服务</w:t>
      </w:r>
      <w:r>
        <w:rPr>
          <w:rFonts w:eastAsia="宋体" w:cs="宋体"/>
          <w:color w:val="000000"/>
          <w:sz w:val="24"/>
          <w:szCs w:val="24"/>
        </w:rPr>
        <w:t>期限：</w:t>
      </w:r>
      <w:r>
        <w:rPr>
          <w:rFonts w:hint="eastAsia" w:eastAsia="宋体" w:cs="宋体"/>
          <w:color w:val="000000"/>
          <w:sz w:val="24"/>
          <w:szCs w:val="24"/>
        </w:rPr>
        <w:t>本次招标服务期限为1年，具体时间以合同为准。</w:t>
      </w:r>
      <w:r>
        <w:rPr>
          <w:rFonts w:hint="eastAsia" w:eastAsia="宋体" w:cs="宋体"/>
          <w:color w:val="000000"/>
          <w:sz w:val="24"/>
          <w:szCs w:val="24"/>
          <w:lang w:eastAsia="zh-CN"/>
        </w:rPr>
        <w:t>合同可续签，最多不超过两次</w:t>
      </w:r>
      <w:r>
        <w:rPr>
          <w:rFonts w:hint="eastAsia" w:eastAsia="宋体" w:cs="宋体"/>
          <w:color w:val="000000"/>
          <w:sz w:val="24"/>
          <w:szCs w:val="24"/>
        </w:rPr>
        <w:t>。在此期限内中标人须按合同规定向南通市第三人民医院提供上述服务。</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autoSpaceDE w:val="0"/>
        <w:autoSpaceDN w:val="0"/>
        <w:adjustRightInd w:val="0"/>
        <w:spacing w:line="360" w:lineRule="auto"/>
        <w:ind w:firstLine="480" w:firstLineChars="200"/>
        <w:contextualSpacing/>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r>
        <w:rPr>
          <w:rFonts w:hint="eastAsia" w:ascii="宋体" w:hAnsi="宋体" w:eastAsia="宋体"/>
          <w:bCs/>
          <w:sz w:val="24"/>
          <w:szCs w:val="24"/>
        </w:rPr>
        <w:t>有能力按本</w:t>
      </w:r>
      <w:r>
        <w:rPr>
          <w:rFonts w:hint="eastAsia" w:ascii="宋体" w:hAnsi="宋体" w:eastAsia="宋体"/>
          <w:bCs/>
          <w:sz w:val="24"/>
          <w:szCs w:val="24"/>
          <w:lang w:eastAsia="zh-CN"/>
        </w:rPr>
        <w:t>磋商</w:t>
      </w:r>
      <w:r>
        <w:rPr>
          <w:rFonts w:hint="eastAsia" w:ascii="宋体" w:hAnsi="宋体" w:eastAsia="宋体"/>
          <w:bCs/>
          <w:sz w:val="24"/>
          <w:szCs w:val="24"/>
        </w:rPr>
        <w:t>文件规定的要求提供专业服务。</w:t>
      </w:r>
    </w:p>
    <w:p>
      <w:pPr>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公章）；非法定代表人参加投标的，必须提供法定代表人签字或印章的授权委托书及被授权人本人身份证两项复印件；（须加盖公章）</w:t>
      </w:r>
    </w:p>
    <w:p>
      <w:pPr>
        <w:autoSpaceDE w:val="0"/>
        <w:autoSpaceDN w:val="0"/>
        <w:adjustRightInd w:val="0"/>
        <w:spacing w:line="360" w:lineRule="auto"/>
        <w:ind w:firstLine="480" w:firstLineChars="200"/>
        <w:contextualSpacing/>
      </w:pPr>
      <w:r>
        <w:rPr>
          <w:rFonts w:hint="eastAsia" w:ascii="宋体" w:hAnsi="宋体" w:eastAsia="宋体"/>
          <w:bCs/>
          <w:sz w:val="24"/>
          <w:szCs w:val="24"/>
          <w:lang w:eastAsia="zh-CN"/>
        </w:rPr>
        <w:t>（</w:t>
      </w:r>
      <w:r>
        <w:rPr>
          <w:rFonts w:hint="eastAsia" w:ascii="宋体" w:hAnsi="宋体" w:eastAsia="宋体"/>
          <w:bCs/>
          <w:sz w:val="24"/>
          <w:szCs w:val="24"/>
          <w:lang w:val="en-US" w:eastAsia="zh-CN"/>
        </w:rPr>
        <w:t>3</w:t>
      </w:r>
      <w:r>
        <w:rPr>
          <w:rFonts w:hint="eastAsia" w:ascii="宋体" w:hAnsi="宋体" w:eastAsia="宋体"/>
          <w:bCs/>
          <w:sz w:val="24"/>
          <w:szCs w:val="24"/>
          <w:lang w:eastAsia="zh-CN"/>
        </w:rPr>
        <w:t>）</w:t>
      </w:r>
      <w:r>
        <w:rPr>
          <w:rFonts w:hint="eastAsia" w:ascii="宋体" w:hAnsi="宋体" w:eastAsia="宋体"/>
          <w:bCs/>
          <w:sz w:val="24"/>
          <w:szCs w:val="24"/>
        </w:rPr>
        <w:t>供应商须具有</w:t>
      </w:r>
      <w:r>
        <w:rPr>
          <w:rFonts w:hint="eastAsia" w:ascii="宋体" w:hAnsi="宋体" w:eastAsia="宋体" w:cs="宋体"/>
          <w:bCs/>
          <w:kern w:val="0"/>
          <w:sz w:val="24"/>
          <w:szCs w:val="24"/>
        </w:rPr>
        <w:t>有效的劳务派遣许可证；</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28359082"/>
      <w:bookmarkStart w:id="3" w:name="_Toc35393793"/>
      <w:bookmarkStart w:id="4" w:name="_Toc28359005"/>
      <w:bookmarkStart w:id="5" w:name="_Toc35393624"/>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自本磋商公告发布之日起至2023</w:t>
      </w:r>
      <w:r>
        <w:rPr>
          <w:rFonts w:hint="eastAsia" w:ascii="Times New Roman" w:hAnsi="Times New Roman" w:eastAsia="宋体" w:cs="宋体"/>
          <w:bCs/>
          <w:sz w:val="24"/>
          <w:szCs w:val="24"/>
          <w:u w:val="single"/>
        </w:rPr>
        <w:t>年</w:t>
      </w:r>
      <w:r>
        <w:rPr>
          <w:rFonts w:hint="eastAsia" w:ascii="Times New Roman" w:hAnsi="Times New Roman" w:eastAsia="宋体" w:cs="宋体"/>
          <w:bCs/>
          <w:sz w:val="24"/>
          <w:szCs w:val="24"/>
          <w:u w:val="single"/>
          <w:lang w:val="en-US" w:eastAsia="zh-CN"/>
        </w:rPr>
        <w:t>08</w:t>
      </w:r>
      <w:r>
        <w:rPr>
          <w:rFonts w:hint="eastAsia" w:ascii="Times New Roman" w:hAnsi="Times New Roman" w:eastAsia="宋体" w:cs="宋体"/>
          <w:bCs/>
          <w:sz w:val="24"/>
          <w:szCs w:val="24"/>
          <w:u w:val="single"/>
        </w:rPr>
        <w:t>月</w:t>
      </w:r>
      <w:r>
        <w:rPr>
          <w:rFonts w:hint="eastAsia" w:ascii="Times New Roman" w:hAnsi="Times New Roman" w:eastAsia="宋体" w:cs="宋体"/>
          <w:bCs/>
          <w:sz w:val="24"/>
          <w:szCs w:val="24"/>
          <w:u w:val="single"/>
          <w:lang w:val="en-US" w:eastAsia="zh-CN"/>
        </w:rPr>
        <w:t>28</w:t>
      </w:r>
      <w:r>
        <w:rPr>
          <w:rFonts w:hint="eastAsia" w:ascii="Times New Roman" w:hAnsi="Times New Roman" w:eastAsia="宋体" w:cs="宋体"/>
          <w:bCs/>
          <w:sz w:val="24"/>
          <w:szCs w:val="24"/>
          <w:u w:val="single"/>
        </w:rPr>
        <w:t>日1</w:t>
      </w:r>
      <w:r>
        <w:rPr>
          <w:rFonts w:hint="eastAsia" w:ascii="Times New Roman" w:hAnsi="Times New Roman" w:eastAsia="宋体" w:cs="宋体"/>
          <w:bCs/>
          <w:sz w:val="24"/>
          <w:szCs w:val="24"/>
          <w:u w:val="single"/>
          <w:lang w:val="en-US" w:eastAsia="zh-CN"/>
        </w:rPr>
        <w:t>8</w:t>
      </w:r>
      <w:r>
        <w:rPr>
          <w:rFonts w:hint="eastAsia" w:ascii="Times New Roman" w:hAnsi="Times New Roman" w:eastAsia="宋体" w:cs="宋体"/>
          <w:bCs/>
          <w:sz w:val="24"/>
          <w:szCs w:val="24"/>
          <w:u w:val="single"/>
        </w:rPr>
        <w:t>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4、报名方式：请有意参与本项目投标的供应商于2023年</w:t>
      </w:r>
      <w:r>
        <w:rPr>
          <w:rFonts w:hint="eastAsia" w:ascii="Times New Roman" w:hAnsi="Times New Roman" w:eastAsia="宋体" w:cs="宋体"/>
          <w:b/>
          <w:sz w:val="24"/>
          <w:szCs w:val="24"/>
          <w:lang w:val="en-US" w:eastAsia="zh-CN"/>
        </w:rPr>
        <w:t>08</w:t>
      </w:r>
      <w:r>
        <w:rPr>
          <w:rFonts w:hint="eastAsia" w:ascii="Times New Roman" w:hAnsi="Times New Roman" w:eastAsia="宋体" w:cs="宋体"/>
          <w:b/>
          <w:sz w:val="24"/>
          <w:szCs w:val="24"/>
        </w:rPr>
        <w:t>月</w:t>
      </w:r>
      <w:r>
        <w:rPr>
          <w:rFonts w:hint="eastAsia" w:ascii="Times New Roman" w:hAnsi="Times New Roman" w:eastAsia="宋体" w:cs="宋体"/>
          <w:b/>
          <w:sz w:val="24"/>
          <w:szCs w:val="24"/>
          <w:lang w:val="en-US" w:eastAsia="zh-CN"/>
        </w:rPr>
        <w:t>28</w:t>
      </w:r>
      <w:r>
        <w:rPr>
          <w:rFonts w:hint="eastAsia" w:ascii="Times New Roman" w:hAnsi="Times New Roman" w:eastAsia="宋体" w:cs="宋体"/>
          <w:b/>
          <w:sz w:val="24"/>
          <w:szCs w:val="24"/>
        </w:rPr>
        <w:t>日18时00分前至代理机构处报名，未报名单位不得参加本项目的投标。</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rPr>
      </w:pPr>
      <w:bookmarkStart w:id="6" w:name="_Toc35393794"/>
      <w:bookmarkStart w:id="7" w:name="_Toc35393625"/>
      <w:bookmarkStart w:id="8" w:name="_Toc28359084"/>
      <w:bookmarkStart w:id="9" w:name="_Toc28359007"/>
      <w:r>
        <w:rPr>
          <w:rFonts w:hint="eastAsia" w:ascii="Times New Roman" w:hAnsi="Times New Roman" w:eastAsia="宋体" w:cs="宋体"/>
          <w:b/>
          <w:kern w:val="0"/>
          <w:sz w:val="24"/>
          <w:szCs w:val="24"/>
        </w:rPr>
        <w:t>四、响应文件提交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2023</w:t>
      </w:r>
      <w:r>
        <w:rPr>
          <w:rFonts w:hint="eastAsia" w:ascii="Times New Roman" w:hAnsi="Times New Roman" w:eastAsia="宋体" w:cs="宋体"/>
          <w:bCs/>
          <w:sz w:val="24"/>
          <w:szCs w:val="24"/>
          <w:u w:val="single"/>
        </w:rPr>
        <w:t>年</w:t>
      </w:r>
      <w:r>
        <w:rPr>
          <w:rFonts w:hint="eastAsia" w:ascii="Times New Roman" w:hAnsi="Times New Roman" w:eastAsia="宋体" w:cs="宋体"/>
          <w:bCs/>
          <w:sz w:val="24"/>
          <w:szCs w:val="24"/>
          <w:u w:val="single"/>
          <w:lang w:val="en-US" w:eastAsia="zh-CN"/>
        </w:rPr>
        <w:t>08</w:t>
      </w:r>
      <w:r>
        <w:rPr>
          <w:rFonts w:hint="eastAsia" w:ascii="Times New Roman" w:hAnsi="Times New Roman" w:eastAsia="宋体" w:cs="宋体"/>
          <w:bCs/>
          <w:sz w:val="24"/>
          <w:szCs w:val="24"/>
          <w:u w:val="single"/>
        </w:rPr>
        <w:t>月</w:t>
      </w:r>
      <w:r>
        <w:rPr>
          <w:rFonts w:hint="eastAsia" w:ascii="Times New Roman" w:hAnsi="Times New Roman" w:eastAsia="宋体" w:cs="宋体"/>
          <w:bCs/>
          <w:sz w:val="24"/>
          <w:szCs w:val="24"/>
          <w:u w:val="single"/>
          <w:lang w:val="en-US" w:eastAsia="zh-CN"/>
        </w:rPr>
        <w:t>29</w:t>
      </w:r>
      <w:r>
        <w:rPr>
          <w:rFonts w:hint="eastAsia" w:ascii="Times New Roman" w:hAnsi="Times New Roman" w:eastAsia="宋体" w:cs="宋体"/>
          <w:bCs/>
          <w:sz w:val="24"/>
          <w:szCs w:val="24"/>
          <w:u w:val="single"/>
        </w:rPr>
        <w:t>日1</w:t>
      </w:r>
      <w:r>
        <w:rPr>
          <w:rFonts w:hint="eastAsia" w:ascii="Times New Roman" w:hAnsi="Times New Roman" w:eastAsia="宋体" w:cs="宋体"/>
          <w:bCs/>
          <w:sz w:val="24"/>
          <w:szCs w:val="24"/>
          <w:u w:val="single"/>
          <w:lang w:val="en-US" w:eastAsia="zh-CN"/>
        </w:rPr>
        <w:t>4</w:t>
      </w:r>
      <w:r>
        <w:rPr>
          <w:rFonts w:hint="eastAsia" w:ascii="Times New Roman" w:hAnsi="Times New Roman" w:eastAsia="宋体" w:cs="宋体"/>
          <w:bCs/>
          <w:sz w:val="24"/>
          <w:szCs w:val="24"/>
          <w:u w:val="single"/>
        </w:rPr>
        <w:t>时00分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sz w:val="24"/>
          <w:u w:val="single"/>
        </w:rPr>
        <w:t>南通市崇川区江海大道488号金贸国际25楼</w:t>
      </w:r>
      <w:r>
        <w:rPr>
          <w:rFonts w:hint="eastAsia" w:ascii="Times New Roman" w:hAnsi="Times New Roman" w:eastAsia="宋体" w:cs="宋体"/>
          <w:sz w:val="24"/>
          <w:szCs w:val="24"/>
        </w:rPr>
        <w:t>，如有变动另行通知。</w:t>
      </w:r>
    </w:p>
    <w:p>
      <w:pPr>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2023</w:t>
      </w:r>
      <w:r>
        <w:rPr>
          <w:rFonts w:hint="eastAsia" w:ascii="Times New Roman" w:hAnsi="Times New Roman" w:eastAsia="宋体" w:cs="宋体"/>
          <w:bCs/>
          <w:sz w:val="24"/>
          <w:szCs w:val="24"/>
          <w:u w:val="single"/>
        </w:rPr>
        <w:t>年</w:t>
      </w:r>
      <w:r>
        <w:rPr>
          <w:rFonts w:hint="eastAsia" w:ascii="Times New Roman" w:hAnsi="Times New Roman" w:eastAsia="宋体" w:cs="宋体"/>
          <w:bCs/>
          <w:sz w:val="24"/>
          <w:szCs w:val="24"/>
          <w:u w:val="single"/>
          <w:lang w:val="en-US" w:eastAsia="zh-CN"/>
        </w:rPr>
        <w:t>08</w:t>
      </w:r>
      <w:r>
        <w:rPr>
          <w:rFonts w:hint="eastAsia" w:ascii="Times New Roman" w:hAnsi="Times New Roman" w:eastAsia="宋体" w:cs="宋体"/>
          <w:bCs/>
          <w:sz w:val="24"/>
          <w:szCs w:val="24"/>
          <w:u w:val="single"/>
        </w:rPr>
        <w:t>月</w:t>
      </w:r>
      <w:r>
        <w:rPr>
          <w:rFonts w:hint="eastAsia" w:ascii="Times New Roman" w:hAnsi="Times New Roman" w:eastAsia="宋体" w:cs="宋体"/>
          <w:bCs/>
          <w:sz w:val="24"/>
          <w:szCs w:val="24"/>
          <w:u w:val="single"/>
          <w:lang w:val="en-US" w:eastAsia="zh-CN"/>
        </w:rPr>
        <w:t>29</w:t>
      </w:r>
      <w:r>
        <w:rPr>
          <w:rFonts w:hint="eastAsia" w:ascii="Times New Roman" w:hAnsi="Times New Roman" w:eastAsia="宋体" w:cs="宋体"/>
          <w:bCs/>
          <w:sz w:val="24"/>
          <w:szCs w:val="24"/>
          <w:u w:val="single"/>
        </w:rPr>
        <w:t>日1</w:t>
      </w:r>
      <w:r>
        <w:rPr>
          <w:rFonts w:hint="eastAsia" w:ascii="Times New Roman" w:hAnsi="Times New Roman" w:eastAsia="宋体" w:cs="宋体"/>
          <w:bCs/>
          <w:sz w:val="24"/>
          <w:szCs w:val="24"/>
          <w:u w:val="single"/>
          <w:lang w:val="en-US" w:eastAsia="zh-CN"/>
        </w:rPr>
        <w:t>4</w:t>
      </w:r>
      <w:r>
        <w:rPr>
          <w:rFonts w:hint="eastAsia" w:ascii="Times New Roman" w:hAnsi="Times New Roman" w:eastAsia="宋体" w:cs="宋体"/>
          <w:bCs/>
          <w:sz w:val="24"/>
          <w:szCs w:val="24"/>
          <w:u w:val="single"/>
        </w:rPr>
        <w:t>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2、开启文件及开标地点：</w:t>
      </w:r>
      <w:r>
        <w:rPr>
          <w:rFonts w:hint="eastAsia"/>
          <w:sz w:val="24"/>
          <w:u w:val="single"/>
        </w:rPr>
        <w:t>南通市崇川区江海大道488号金贸国际25楼（宏信天德工程顾问有限公司开标室）</w:t>
      </w:r>
      <w:r>
        <w:rPr>
          <w:rFonts w:hint="eastAsia" w:ascii="Times New Roman" w:hAnsi="Times New Roman" w:eastAsia="宋体" w:cs="宋体"/>
          <w:sz w:val="24"/>
          <w:szCs w:val="24"/>
        </w:rPr>
        <w:t>。</w:t>
      </w:r>
    </w:p>
    <w:p>
      <w:pPr>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自本公告发布之日起3个工作日。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联系人：钱科</w:t>
      </w:r>
      <w:r>
        <w:rPr>
          <w:rFonts w:hint="eastAsia" w:ascii="Times New Roman" w:hAnsi="Times New Roman" w:eastAsia="宋体" w:cs="宋体"/>
          <w:bCs/>
          <w:sz w:val="24"/>
          <w:lang w:eastAsia="zh-CN"/>
        </w:rPr>
        <w:t>长</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pStyle w:val="3"/>
        <w:keepNext w:val="0"/>
        <w:keepLines w:val="0"/>
        <w:spacing w:before="0" w:after="0" w:line="360" w:lineRule="auto"/>
        <w:jc w:val="center"/>
        <w:textAlignment w:val="baseline"/>
        <w:rPr>
          <w:rFonts w:hint="eastAsia" w:ascii="Times New Roman" w:hAnsi="Times New Roman" w:eastAsia="宋体"/>
          <w:w w:val="80"/>
          <w:sz w:val="48"/>
          <w:szCs w:val="44"/>
        </w:rPr>
      </w:pPr>
    </w:p>
    <w:p>
      <w:pPr>
        <w:pStyle w:val="3"/>
        <w:keepNext w:val="0"/>
        <w:keepLines w:val="0"/>
        <w:spacing w:before="0" w:after="0" w:line="360" w:lineRule="auto"/>
        <w:jc w:val="center"/>
        <w:textAlignment w:val="baseline"/>
        <w:rPr>
          <w:rFonts w:ascii="Times New Roman" w:hAnsi="Times New Roman" w:eastAsia="宋体"/>
          <w:w w:val="80"/>
          <w:sz w:val="48"/>
          <w:szCs w:val="44"/>
        </w:rPr>
      </w:pPr>
      <w:bookmarkStart w:id="16" w:name="_GoBack"/>
      <w:bookmarkEnd w:id="16"/>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autoSpaceDE w:val="0"/>
        <w:autoSpaceDN w:val="0"/>
        <w:adjustRightInd w:val="0"/>
        <w:spacing w:line="360" w:lineRule="auto"/>
        <w:ind w:firstLine="480" w:firstLineChars="200"/>
        <w:contextualSpacing/>
        <w:rPr>
          <w:rFonts w:ascii="Times New Roman" w:hAnsi="Times New Roman" w:eastAsia="宋体" w:cs="宋体"/>
          <w:sz w:val="24"/>
          <w:szCs w:val="24"/>
        </w:rPr>
      </w:pPr>
      <w:r>
        <w:rPr>
          <w:rFonts w:hint="eastAsia" w:ascii="Times New Roman" w:hAnsi="Times New Roman" w:eastAsia="宋体" w:cs="宋体"/>
          <w:sz w:val="24"/>
          <w:szCs w:val="24"/>
        </w:rPr>
        <w:t>4、</w:t>
      </w:r>
      <w:r>
        <w:rPr>
          <w:rFonts w:hint="eastAsia" w:eastAsia="宋体"/>
          <w:b/>
          <w:bCs/>
          <w:color w:val="000000"/>
          <w:sz w:val="24"/>
          <w:szCs w:val="24"/>
          <w:lang w:eastAsia="zh-CN"/>
        </w:rPr>
        <w:t>响应</w:t>
      </w:r>
      <w:r>
        <w:rPr>
          <w:rFonts w:hint="eastAsia" w:eastAsia="宋体"/>
          <w:b/>
          <w:bCs/>
          <w:color w:val="000000"/>
          <w:sz w:val="24"/>
          <w:szCs w:val="24"/>
        </w:rPr>
        <w:t>报价（以人民币计价）应包括完成本项目所需的一切费用，包含但不限于人工（包括工资、奖金、社保、加班费等费用）、专用设备、工具、易耗品、办公设备、信息系统使用、服装、胸卡、保险、培训费、管理费、各种税费、利润、政策性文件规定及合同包含的所有风险、责任等费用。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hint="eastAsia" w:ascii="宋体" w:hAnsi="宋体" w:eastAsia="宋体" w:cs="宋体"/>
          <w:kern w:val="0"/>
          <w:sz w:val="24"/>
          <w:szCs w:val="24"/>
        </w:rPr>
      </w:pPr>
      <w:r>
        <w:rPr>
          <w:rFonts w:ascii="Times New Roman" w:hAnsi="Times New Roman" w:eastAsia="宋体" w:cs="Times New Roman"/>
          <w:b/>
          <w:kern w:val="0"/>
          <w:sz w:val="24"/>
          <w:szCs w:val="24"/>
          <w:lang w:val="zh-CN"/>
        </w:rPr>
        <w:t>请供应商在网上报名前和制作投标文件时仔细研究项目需求说明。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w:t>
      </w:r>
      <w:r>
        <w:rPr>
          <w:rFonts w:hint="eastAsia" w:ascii="宋体" w:hAnsi="宋体" w:eastAsia="宋体" w:cs="宋体"/>
          <w:kern w:val="0"/>
          <w:sz w:val="24"/>
          <w:szCs w:val="24"/>
          <w:lang w:val="zh-CN"/>
        </w:rPr>
        <w:t>术商务条款响应正负偏离表》</w:t>
      </w:r>
      <w:r>
        <w:rPr>
          <w:rFonts w:hint="eastAsia" w:ascii="宋体" w:hAnsi="宋体" w:eastAsia="宋体" w:cs="宋体"/>
          <w:kern w:val="0"/>
          <w:sz w:val="24"/>
          <w:szCs w:val="24"/>
        </w:rPr>
        <w:t>上明示，如不明示的视同完全响应</w:t>
      </w:r>
      <w:r>
        <w:rPr>
          <w:rFonts w:hint="eastAsia" w:ascii="宋体" w:hAnsi="宋体" w:eastAsia="宋体" w:cs="宋体"/>
          <w:kern w:val="0"/>
          <w:sz w:val="24"/>
          <w:szCs w:val="24"/>
          <w:lang w:val="zh-CN"/>
        </w:rPr>
        <w:t>。</w:t>
      </w:r>
    </w:p>
    <w:p>
      <w:pPr>
        <w:numPr>
          <w:ilvl w:val="0"/>
          <w:numId w:val="1"/>
        </w:num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项目名称</w:t>
      </w:r>
    </w:p>
    <w:p>
      <w:pPr>
        <w:pStyle w:val="9"/>
        <w:numPr>
          <w:ilvl w:val="0"/>
          <w:numId w:val="0"/>
        </w:num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南通市第三人民医院导医外包服务项目</w:t>
      </w:r>
    </w:p>
    <w:p>
      <w:pPr>
        <w:numPr>
          <w:ilvl w:val="0"/>
          <w:numId w:val="1"/>
        </w:num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采购参数、配置、服务要求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1、服务要求</w:t>
      </w:r>
    </w:p>
    <w:p>
      <w:pPr>
        <w:snapToGrid w:val="0"/>
        <w:spacing w:line="360" w:lineRule="auto"/>
        <w:ind w:firstLine="240" w:firstLineChars="100"/>
        <w:rPr>
          <w:rFonts w:hint="eastAsia" w:ascii="宋体" w:hAnsi="宋体" w:eastAsia="宋体" w:cs="宋体"/>
          <w:b/>
          <w:bCs/>
          <w:color w:val="000000"/>
          <w:sz w:val="24"/>
          <w:szCs w:val="24"/>
        </w:rPr>
      </w:pPr>
      <w:r>
        <w:rPr>
          <w:rFonts w:hint="eastAsia" w:ascii="宋体" w:hAnsi="宋体" w:eastAsia="宋体" w:cs="宋体"/>
          <w:color w:val="000000"/>
          <w:sz w:val="24"/>
          <w:szCs w:val="24"/>
        </w:rPr>
        <w:t>（1）工作时间由医院安排（不含夜班），每个星期工作的时间不超过40个小时/人(包括40个小时)，包括处理各项突发事件及紧急任务。</w:t>
      </w:r>
    </w:p>
    <w:p>
      <w:pPr>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（2）工作过程中因中标人责任所造成的经济损失由中标人按实际额赔偿。</w:t>
      </w:r>
    </w:p>
    <w:p>
      <w:pPr>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（3）招标人有权利对中标人的工作每月实施考核，具体方案由投标人在投标文件中详细列出，并要求给出具体的处罚措施。</w:t>
      </w:r>
    </w:p>
    <w:p>
      <w:pPr>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2、服务范围：</w:t>
      </w:r>
    </w:p>
    <w:p>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医院综合服务中心、一站式服务中心、医院门急诊科室、医院医技科室，医院自助服务区等</w:t>
      </w:r>
      <w:r>
        <w:rPr>
          <w:rFonts w:hint="eastAsia" w:ascii="宋体" w:hAnsi="宋体" w:eastAsia="宋体" w:cs="宋体"/>
          <w:color w:val="000000"/>
          <w:sz w:val="24"/>
          <w:szCs w:val="24"/>
          <w:lang w:eastAsia="zh-CN"/>
        </w:rPr>
        <w:t>。</w:t>
      </w:r>
    </w:p>
    <w:p>
      <w:pPr>
        <w:numPr>
          <w:ilvl w:val="0"/>
          <w:numId w:val="2"/>
        </w:numPr>
        <w:snapToGrid w:val="0"/>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服务内容</w:t>
      </w:r>
    </w:p>
    <w:p>
      <w:pPr>
        <w:numPr>
          <w:ilvl w:val="0"/>
          <w:numId w:val="0"/>
        </w:numPr>
        <w:snapToGrid w:val="0"/>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（1）门诊</w:t>
      </w:r>
      <w:r>
        <w:rPr>
          <w:rFonts w:hint="eastAsia" w:ascii="宋体" w:hAnsi="宋体" w:eastAsia="宋体" w:cs="宋体"/>
          <w:b/>
          <w:kern w:val="0"/>
          <w:sz w:val="24"/>
          <w:szCs w:val="24"/>
          <w:lang w:eastAsia="zh-CN"/>
        </w:rPr>
        <w:t>导医外包服务</w:t>
      </w:r>
      <w:r>
        <w:rPr>
          <w:rFonts w:hint="eastAsia" w:ascii="宋体" w:hAnsi="宋体" w:eastAsia="宋体" w:cs="宋体"/>
          <w:b/>
          <w:kern w:val="0"/>
          <w:sz w:val="24"/>
          <w:szCs w:val="24"/>
        </w:rPr>
        <w:t>人员</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每天早上提前15分钟上班，开展导医工作。</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负责导医导诊、预检分诊、咨询预约、各种地点指引等门诊服务工作，随时接受咨询。</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高峰时对病人进行分流及引导，维持门诊良好的就诊秩序与整洁的就诊环境。</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认真落实承诺的各项便民措施，办理轮椅借用登记手续。</w:t>
      </w:r>
    </w:p>
    <w:p>
      <w:pPr>
        <w:numPr>
          <w:ilvl w:val="0"/>
          <w:numId w:val="3"/>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为初诊病人提供信息咨询，指导选择专科医生，指引就诊路线。</w:t>
      </w:r>
    </w:p>
    <w:p>
      <w:pPr>
        <w:numPr>
          <w:ilvl w:val="0"/>
          <w:numId w:val="3"/>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指导“就诊卡”办理相关手续，帮助病人信息登记（填写信息）。</w:t>
      </w:r>
    </w:p>
    <w:p>
      <w:pPr>
        <w:numPr>
          <w:ilvl w:val="0"/>
          <w:numId w:val="3"/>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指导病人使用自助设备，帮助病人自助打印门诊检验报告单，必要时帮病人打印门诊发票清单。</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对老弱、伤残、重症、无陪客患者实行陪诊、陪检等援助式服务。</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帮助病人办理住院登记手续、并护送病人至住院病区。</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接受病人投诉并登记处理，协调医患关系。</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接待办理：入职体检、招工体检、特殊工种体检、操作工体检等各类个人健康体检。</w:t>
      </w:r>
    </w:p>
    <w:p>
      <w:pPr>
        <w:numPr>
          <w:ilvl w:val="0"/>
          <w:numId w:val="3"/>
        </w:numPr>
        <w:spacing w:line="360" w:lineRule="auto"/>
        <w:ind w:right="-512" w:rightChars="-244"/>
        <w:rPr>
          <w:rFonts w:hint="eastAsia" w:ascii="宋体" w:hAnsi="宋体" w:eastAsia="宋体" w:cs="宋体"/>
          <w:kern w:val="0"/>
          <w:sz w:val="24"/>
          <w:szCs w:val="24"/>
        </w:rPr>
      </w:pPr>
      <w:r>
        <w:rPr>
          <w:rFonts w:hint="eastAsia" w:ascii="宋体" w:hAnsi="宋体" w:eastAsia="宋体" w:cs="宋体"/>
          <w:kern w:val="0"/>
          <w:sz w:val="24"/>
          <w:szCs w:val="24"/>
        </w:rPr>
        <w:t>发放一次性杯子和各种健康教育资料。</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发放“检查报告单”，并协调与此相关问题。</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按病人需求为其联系安排“特需门诊”、“专家门诊”。</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接受各类咨询：医院科室布局查询、检查治疗流程咨询、医院专科介绍、专家介绍、电话咨询、病人查询、药品查询、费用咨询、健康知识咨询等。</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自动扶梯安全管理：对乘自动扶梯的患者应加强安全告知和指导工作，严防意外发生。</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发现紧急情况或意外事件、标牌和电子屏损坏及时报告、报修、通知相应部门，及时处理。劝阻吸烟者，注意节能和按需开灯。</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下班前负责关闭导医分管区域的电脑、电灯、空调、门窗，并负责收好导医物品：电脑、打印机、椅子、轮椅、平车等物品。</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推行迎宾式服务，实施急诊配送，无缝对接</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其它大厅导诊服务等。</w:t>
      </w:r>
    </w:p>
    <w:p>
      <w:pPr>
        <w:widowControl/>
        <w:tabs>
          <w:tab w:val="left" w:pos="600"/>
          <w:tab w:val="left" w:pos="1320"/>
        </w:tabs>
        <w:spacing w:before="62" w:beforeLines="20" w:after="62" w:afterLines="20"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（2）门诊科室分诊台服务人员</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每天早上提前15分钟上班，开展分诊工作。</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主动帮助老、弱、残、孕患者就诊，必要时协调帮助轮椅推送病人检查、治疗。</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经常观察侯诊病员的病情变化，对病情较重的病员应安排提前诊治或联系护送至急诊科处理。</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协调帮助患者办理住院手续并护送至病区。</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维持好各分诊区域诊室的就诊秩序，严格执行各诊室一医一患制度，并对就诊者进行相关解释工作。</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保持工作台面及诊疗场所的清洁，下班前整理干净。（必要时测体温、血压）</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严格做好各分诊区域门诊出诊医生的登记签到与联系工作，确保随时知晓当班坐诊医师在岗和离岗情况。</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下班前负责检查各分诊区域诊室房间的电脑、电灯、空调、门窗、水龙头关闭情况。</w:t>
      </w:r>
    </w:p>
    <w:p>
      <w:pPr>
        <w:numPr>
          <w:ilvl w:val="0"/>
          <w:numId w:val="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其它科室导诊服务等。</w:t>
      </w:r>
    </w:p>
    <w:p>
      <w:pPr>
        <w:widowControl/>
        <w:tabs>
          <w:tab w:val="left" w:pos="600"/>
          <w:tab w:val="left" w:pos="1320"/>
        </w:tabs>
        <w:spacing w:before="62" w:beforeLines="20" w:after="62" w:afterLines="20"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（3）医技科室服务人员</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在管理人员和护士长的领导及治疗医生的指导下进行工作。</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负责检查前的准备工作。</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做好叫号、咨询工作，维持诊室秩序。</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做好预约挂号工作。</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做好物品、器材的保管及维护工作。</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协助护士处理意外突发事件。</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负责受理接待患者投诉，做好解释工作。</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做好抽血排号、检验单发放等技能工作</w:t>
      </w:r>
    </w:p>
    <w:p>
      <w:pPr>
        <w:numPr>
          <w:ilvl w:val="0"/>
          <w:numId w:val="4"/>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其它医技科室服务等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4、考核标准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以病人满意度调查的得分和医院相关部门的评分相结合得出的分数为标准，高于85分为合格。</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服务人员具有应有的职业道德，遵循社会公德，为就诊人员创建健康、文明服务环境；</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服务人员对门诊服务工作具备基本业务知识和技能，并能快速、准确运用；</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服务人员熟悉医院的服务流程、服务内容，能耐心、亲切的应答就诊人员的提问，正确指导患者就诊；</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服务人员能及时发现就诊人员的需求，主动服务，与就诊人员交谈时，做到用心倾听；</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仪容仪表端庄、大方、整洁，着装、配饰统一标准；</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站、坐、行姿符合岗位规范和要求，保持微笑；</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礼貌用语、工作用语统一标准，工作期间首选使用普通话；</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准时上、下班，不迟到早退，不脱岗。上班时间不玩手机，接听电话注意场合、注意音量、不超规定时间；</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维持现场秩序和主动疏导就诊人员；</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对有需要特殊帮助的就诊人员（如残疾人士、行动不便的老年人等）应主动予以帮助；对需要走绿色通道的就诊人员及时与医院总值班进行联系。</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管理人员接到投诉，及时与医院相关部门沟通、协调，正确、快速进行处理。服务中如有差错，应道歉并立即更正；</w:t>
      </w:r>
    </w:p>
    <w:p>
      <w:pPr>
        <w:numPr>
          <w:ilvl w:val="0"/>
          <w:numId w:val="5"/>
        </w:numPr>
        <w:spacing w:line="360" w:lineRule="auto"/>
        <w:rPr>
          <w:rFonts w:hint="eastAsia" w:ascii="宋体" w:hAnsi="宋体" w:eastAsia="宋体" w:cs="宋体"/>
          <w:b/>
          <w:kern w:val="0"/>
          <w:sz w:val="24"/>
          <w:szCs w:val="24"/>
        </w:rPr>
      </w:pPr>
      <w:r>
        <w:rPr>
          <w:rFonts w:hint="eastAsia" w:ascii="宋体" w:hAnsi="宋体" w:eastAsia="宋体" w:cs="宋体"/>
          <w:sz w:val="24"/>
          <w:szCs w:val="24"/>
        </w:rPr>
        <w:t>其它服务标准等。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5、配备人员及服务管理方案要求</w:t>
      </w:r>
    </w:p>
    <w:p>
      <w:pPr>
        <w:pStyle w:val="41"/>
        <w:numPr>
          <w:ilvl w:val="0"/>
          <w:numId w:val="5"/>
        </w:numPr>
        <w:snapToGrid w:val="0"/>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人员要求：参加本项目服务人员为</w:t>
      </w:r>
      <w:r>
        <w:rPr>
          <w:rFonts w:hint="eastAsia" w:ascii="宋体" w:hAnsi="宋体" w:eastAsia="宋体" w:cs="宋体"/>
          <w:kern w:val="2"/>
          <w:sz w:val="24"/>
          <w:szCs w:val="24"/>
          <w:u w:val="single"/>
          <w:lang w:val="en-US" w:eastAsia="zh-CN" w:bidi="ar-SA"/>
        </w:rPr>
        <w:t xml:space="preserve"> 7 </w:t>
      </w:r>
      <w:r>
        <w:rPr>
          <w:rFonts w:hint="eastAsia" w:ascii="宋体" w:hAnsi="宋体" w:eastAsia="宋体" w:cs="宋体"/>
          <w:kern w:val="2"/>
          <w:sz w:val="24"/>
          <w:szCs w:val="24"/>
          <w:lang w:val="en-US" w:eastAsia="zh-CN" w:bidi="ar-SA"/>
        </w:rPr>
        <w:t>人(其中1人为管理人员，只参与日常管理工作)。</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SA"/>
        </w:rPr>
        <w:t>2. 员工需统一</w:t>
      </w:r>
      <w:r>
        <w:rPr>
          <w:rFonts w:hint="eastAsia" w:ascii="宋体" w:hAnsi="宋体" w:eastAsia="宋体" w:cs="宋体"/>
          <w:color w:val="000000"/>
          <w:sz w:val="24"/>
          <w:szCs w:val="24"/>
        </w:rPr>
        <w:t>着装上岗。</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3.任职条件：</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（1）年龄18-40岁。</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（2）中专及以上学历。</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（3）无违法违纪等不良行为记录。</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（4）政治素质好，人品好，沟通能力强，工作积极主动。</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4．方案的内容要求具体如下：</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（1）门急诊导医导诊外包服务的目标。从人力资源成本、优化门诊服务质量、患者满意度方面进行阐述。</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（2）门急诊导医导诊外包服务的具体内容、特色与亮点。</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（3）岗位的具体配置。包括：岗位名称、主要岗位明细要求（根据具体给出但不限于岗位职责展开）、工作形式及聘任要求等。</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4）具体管理方案：包括项目负责人的情况介绍、管理理念和方法、组织管理、人力资源管理、培训管理（培训包含但不限于企业文化、人力资源、沟通技巧、形象礼仪、消防、心肺复苏等）、绩效和激励、日常运营和现场管理、质量监控与管理。</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（5）服务外包的实施和导入：实施中的工作、周期以及需要院方配合的内容。</w:t>
      </w:r>
    </w:p>
    <w:p>
      <w:pPr>
        <w:pStyle w:val="41"/>
        <w:numPr>
          <w:ilvl w:val="0"/>
          <w:numId w:val="5"/>
        </w:numPr>
        <w:snapToGrid w:val="0"/>
        <w:spacing w:line="360" w:lineRule="auto"/>
        <w:ind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（6）退场交接方案、应急措施等</w:t>
      </w:r>
    </w:p>
    <w:p>
      <w:pPr>
        <w:pStyle w:val="41"/>
        <w:numPr>
          <w:ilvl w:val="0"/>
          <w:numId w:val="5"/>
        </w:numPr>
        <w:snapToGrid w:val="0"/>
        <w:spacing w:line="360" w:lineRule="auto"/>
        <w:ind w:firstLineChars="0"/>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 xml:space="preserve">. </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人的从业人员要求：公司内部有岗前培训，服务人员100%经过岗前培训合格才上岗。</w:t>
      </w:r>
    </w:p>
    <w:p>
      <w:pPr>
        <w:pStyle w:val="41"/>
        <w:numPr>
          <w:ilvl w:val="0"/>
          <w:numId w:val="5"/>
        </w:numPr>
        <w:spacing w:line="360" w:lineRule="auto"/>
        <w:ind w:firstLineChars="0"/>
        <w:rPr>
          <w:rFonts w:hint="eastAsia" w:ascii="宋体" w:hAnsi="宋体" w:eastAsia="宋体" w:cs="宋体"/>
          <w:bCs/>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 xml:space="preserve">. </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人有责任配合医院接受上级领导部门</w:t>
      </w:r>
      <w:r>
        <w:rPr>
          <w:rFonts w:hint="eastAsia" w:ascii="宋体" w:hAnsi="宋体" w:eastAsia="宋体" w:cs="宋体"/>
          <w:bCs/>
          <w:color w:val="000000"/>
          <w:sz w:val="24"/>
          <w:szCs w:val="24"/>
        </w:rPr>
        <w:t>的监督、检查等。</w:t>
      </w:r>
    </w:p>
    <w:p>
      <w:pPr>
        <w:numPr>
          <w:ilvl w:val="0"/>
          <w:numId w:val="1"/>
        </w:num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服务周期</w:t>
      </w:r>
    </w:p>
    <w:p>
      <w:pPr>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eastAsia="宋体" w:cs="宋体"/>
          <w:color w:val="000000"/>
          <w:sz w:val="24"/>
          <w:szCs w:val="24"/>
        </w:rPr>
        <w:t>本次招标服务期限为1年，具体时间以合同为准。</w:t>
      </w:r>
      <w:r>
        <w:rPr>
          <w:rFonts w:hint="eastAsia" w:eastAsia="宋体" w:cs="宋体"/>
          <w:color w:val="000000"/>
          <w:sz w:val="24"/>
          <w:szCs w:val="24"/>
          <w:lang w:eastAsia="zh-CN"/>
        </w:rPr>
        <w:t>合同可续签，最多不超过两次</w:t>
      </w:r>
      <w:r>
        <w:rPr>
          <w:rFonts w:hint="eastAsia" w:eastAsia="宋体" w:cs="宋体"/>
          <w:color w:val="000000"/>
          <w:sz w:val="24"/>
          <w:szCs w:val="24"/>
        </w:rPr>
        <w:t>。</w:t>
      </w:r>
      <w:r>
        <w:rPr>
          <w:rFonts w:hint="eastAsia" w:ascii="宋体" w:hAnsi="宋体" w:eastAsia="宋体" w:cs="宋体"/>
          <w:color w:val="000000"/>
          <w:sz w:val="24"/>
          <w:szCs w:val="24"/>
        </w:rPr>
        <w:t>在此期限内</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人须按合同规定向南通市第三人民医院提供上述服务。</w:t>
      </w:r>
    </w:p>
    <w:p>
      <w:pPr>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（2）期间南通市第三人民医院如需增加外包人员，费用按照</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额所确定的标准相应增加。</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人为</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人所提供的服务人员的劳动、人事关系应归属</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人必须按照法律、法规及劳动法的有关政策为服务人员办理缴纳养老、失业、医疗等各项社保。合同期内如遇政府调整最低工资标准及社保基数调整（个人和公司部分），新标准与旧标准之间所产生的费用，由</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人支付相应增加费用。</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人为</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人所提供的服务人员在合同期内如发生因工负伤、致残、疾病、死亡等各类劳动仲裁事宜均与</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人无关。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四、验收方案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满足采购人考核要求，</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人的从业人员要求：公司内部有岗前培训，服务人员100%经过岗前培训合格才上岗。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color w:val="000000"/>
          <w:sz w:val="24"/>
          <w:szCs w:val="24"/>
          <w:lang w:eastAsia="zh-CN"/>
        </w:rPr>
        <w:t>五、</w:t>
      </w:r>
      <w:r>
        <w:rPr>
          <w:rFonts w:hint="eastAsia" w:ascii="宋体" w:hAnsi="宋体" w:eastAsia="宋体" w:cs="宋体"/>
          <w:b/>
          <w:bCs/>
          <w:sz w:val="24"/>
          <w:szCs w:val="24"/>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采购单位提供口罩、帽子、手套等防护用品。提供一台联网的电脑，一间休息室，更衣柜，一张办公桌等。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bCs/>
          <w:color w:val="000000"/>
          <w:sz w:val="24"/>
          <w:szCs w:val="24"/>
          <w:lang w:eastAsia="zh-CN"/>
        </w:rPr>
        <w:t>六、</w:t>
      </w:r>
      <w:r>
        <w:rPr>
          <w:rFonts w:hint="eastAsia" w:ascii="宋体" w:hAnsi="宋体" w:eastAsia="宋体" w:cs="宋体"/>
          <w:b/>
          <w:bCs/>
          <w:sz w:val="24"/>
          <w:szCs w:val="24"/>
          <w:lang w:eastAsia="zh-CN"/>
        </w:rPr>
        <w:t>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采购资金的支付方式：银行转账或银行汇票。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采购资金的支付时间、条件：每月2日前，由</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对上月的服务费进行核算，向采购方提供《人员考勤表》和《客服满意度调查表》，采购方进行审核和考核，根据审核和考核结果确定服务费用，开具服务费发票，于每月10日前向成交供应商支付上月的服务费用。</w:t>
      </w:r>
    </w:p>
    <w:p>
      <w:pPr>
        <w:pStyle w:val="9"/>
      </w:pPr>
    </w:p>
    <w:p>
      <w:pPr>
        <w:adjustRightInd w:val="0"/>
        <w:snapToGrid w:val="0"/>
        <w:spacing w:line="500" w:lineRule="exact"/>
        <w:jc w:val="left"/>
        <w:rPr>
          <w:rFonts w:ascii="宋体" w:hAnsi="宋体" w:cs="宋体"/>
          <w:b/>
          <w:bCs/>
          <w:sz w:val="24"/>
          <w:szCs w:val="24"/>
        </w:rPr>
      </w:pPr>
    </w:p>
    <w:p>
      <w:pPr>
        <w:pStyle w:val="7"/>
      </w:pP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182848996"/>
      <w:bookmarkStart w:id="11" w:name="_Toc38121794"/>
      <w:bookmarkStart w:id="12" w:name="_Toc43217893"/>
      <w:bookmarkStart w:id="13" w:name="_Toc85627670"/>
      <w:bookmarkStart w:id="14" w:name="_Toc37322565"/>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80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20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四、综合评分评审标准</w:t>
      </w:r>
    </w:p>
    <w:p>
      <w:pPr>
        <w:adjustRightInd w:val="0"/>
        <w:snapToGrid w:val="0"/>
        <w:spacing w:line="500" w:lineRule="exact"/>
        <w:jc w:val="left"/>
        <w:rPr>
          <w:rFonts w:hint="eastAsia" w:ascii="宋体" w:hAnsi="宋体" w:eastAsia="宋体" w:cs="宋体"/>
          <w:b/>
          <w:sz w:val="24"/>
          <w:szCs w:val="24"/>
        </w:rPr>
      </w:pPr>
      <w:r>
        <w:rPr>
          <w:rFonts w:hint="eastAsia" w:ascii="宋体" w:hAnsi="宋体" w:eastAsia="宋体" w:cs="宋体"/>
          <w:b/>
          <w:bCs/>
          <w:sz w:val="24"/>
          <w:szCs w:val="24"/>
          <w:shd w:val="clear" w:color="auto" w:fill="FFFFFF"/>
        </w:rPr>
        <w:t>（一）</w:t>
      </w:r>
      <w:r>
        <w:rPr>
          <w:rFonts w:hint="eastAsia" w:ascii="宋体" w:hAnsi="宋体" w:eastAsia="宋体" w:cs="宋体"/>
          <w:b/>
          <w:sz w:val="24"/>
          <w:szCs w:val="24"/>
        </w:rPr>
        <w:t>商务技术分：</w:t>
      </w:r>
      <w:r>
        <w:rPr>
          <w:rFonts w:hint="eastAsia" w:ascii="宋体" w:hAnsi="宋体" w:eastAsia="宋体" w:cs="宋体"/>
          <w:b/>
          <w:sz w:val="24"/>
          <w:szCs w:val="24"/>
          <w:lang w:val="en-US" w:eastAsia="zh-CN"/>
        </w:rPr>
        <w:t>80</w:t>
      </w:r>
      <w:r>
        <w:rPr>
          <w:rFonts w:hint="eastAsia" w:ascii="宋体" w:hAnsi="宋体" w:eastAsia="宋体" w:cs="宋体"/>
          <w:b/>
          <w:sz w:val="24"/>
          <w:szCs w:val="24"/>
        </w:rPr>
        <w:t>分</w:t>
      </w:r>
    </w:p>
    <w:tbl>
      <w:tblPr>
        <w:tblStyle w:val="21"/>
        <w:tblW w:w="9639" w:type="dxa"/>
        <w:jc w:val="center"/>
        <w:tblLayout w:type="fixed"/>
        <w:tblCellMar>
          <w:top w:w="0" w:type="dxa"/>
          <w:left w:w="108" w:type="dxa"/>
          <w:bottom w:w="0" w:type="dxa"/>
          <w:right w:w="108" w:type="dxa"/>
        </w:tblCellMar>
      </w:tblPr>
      <w:tblGrid>
        <w:gridCol w:w="669"/>
        <w:gridCol w:w="1220"/>
        <w:gridCol w:w="670"/>
        <w:gridCol w:w="7080"/>
      </w:tblGrid>
      <w:tr>
        <w:tblPrEx>
          <w:tblCellMar>
            <w:top w:w="0" w:type="dxa"/>
            <w:left w:w="108" w:type="dxa"/>
            <w:bottom w:w="0" w:type="dxa"/>
            <w:right w:w="108" w:type="dxa"/>
          </w:tblCellMar>
        </w:tblPrEx>
        <w:trPr>
          <w:trHeight w:val="478" w:hRule="atLeast"/>
          <w:tblHeader/>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20" w:type="dxa"/>
            <w:tcBorders>
              <w:top w:val="single" w:color="auto" w:sz="4" w:space="0"/>
              <w:left w:val="nil"/>
              <w:bottom w:val="single" w:color="auto" w:sz="4" w:space="0"/>
              <w:right w:val="single" w:color="auto" w:sz="4" w:space="0"/>
            </w:tcBorders>
            <w:noWrap/>
            <w:vAlign w:val="center"/>
          </w:tcPr>
          <w:p>
            <w:pPr>
              <w:spacing w:line="420" w:lineRule="exact"/>
              <w:ind w:left="-40"/>
              <w:jc w:val="center"/>
              <w:rPr>
                <w:rFonts w:ascii="宋体" w:hAnsi="宋体" w:eastAsia="宋体" w:cs="宋体"/>
                <w:b/>
                <w:bCs/>
                <w:sz w:val="24"/>
                <w:szCs w:val="24"/>
              </w:rPr>
            </w:pPr>
            <w:r>
              <w:rPr>
                <w:rFonts w:hint="eastAsia" w:ascii="宋体" w:hAnsi="宋体" w:eastAsia="宋体" w:cs="宋体"/>
                <w:b/>
                <w:bCs/>
                <w:sz w:val="24"/>
                <w:szCs w:val="24"/>
              </w:rPr>
              <w:t>评审项目</w:t>
            </w:r>
          </w:p>
        </w:tc>
        <w:tc>
          <w:tcPr>
            <w:tcW w:w="670" w:type="dxa"/>
            <w:tcBorders>
              <w:top w:val="single" w:color="auto" w:sz="4" w:space="0"/>
              <w:left w:val="nil"/>
              <w:bottom w:val="single" w:color="auto" w:sz="4" w:space="0"/>
              <w:right w:val="single" w:color="auto" w:sz="4" w:space="0"/>
            </w:tcBorders>
            <w:noWrap/>
            <w:vAlign w:val="center"/>
          </w:tcPr>
          <w:p>
            <w:pPr>
              <w:spacing w:line="420" w:lineRule="exact"/>
              <w:ind w:left="-40"/>
              <w:jc w:val="center"/>
              <w:rPr>
                <w:rFonts w:ascii="宋体" w:hAnsi="宋体" w:eastAsia="宋体" w:cs="宋体"/>
                <w:b/>
                <w:bCs/>
                <w:sz w:val="24"/>
                <w:szCs w:val="24"/>
              </w:rPr>
            </w:pPr>
            <w:r>
              <w:rPr>
                <w:rFonts w:hint="eastAsia" w:ascii="宋体" w:hAnsi="宋体" w:eastAsia="宋体" w:cs="宋体"/>
                <w:b/>
                <w:bCs/>
                <w:sz w:val="24"/>
                <w:szCs w:val="24"/>
              </w:rPr>
              <w:t>分值</w:t>
            </w:r>
          </w:p>
        </w:tc>
        <w:tc>
          <w:tcPr>
            <w:tcW w:w="7080" w:type="dxa"/>
            <w:tcBorders>
              <w:top w:val="single" w:color="auto" w:sz="4" w:space="0"/>
              <w:left w:val="nil"/>
              <w:bottom w:val="single" w:color="auto" w:sz="4" w:space="0"/>
              <w:right w:val="single" w:color="auto" w:sz="4" w:space="0"/>
            </w:tcBorders>
            <w:noWrap/>
            <w:vAlign w:val="center"/>
          </w:tcPr>
          <w:p>
            <w:pPr>
              <w:spacing w:line="420" w:lineRule="exact"/>
              <w:ind w:left="-40"/>
              <w:jc w:val="center"/>
              <w:rPr>
                <w:rFonts w:ascii="宋体" w:hAnsi="宋体" w:eastAsia="宋体" w:cs="宋体"/>
                <w:b/>
                <w:bCs/>
                <w:sz w:val="24"/>
                <w:szCs w:val="24"/>
              </w:rPr>
            </w:pPr>
            <w:r>
              <w:rPr>
                <w:rFonts w:hint="eastAsia" w:ascii="宋体" w:hAnsi="宋体" w:eastAsia="宋体" w:cs="宋体"/>
                <w:b/>
                <w:bCs/>
                <w:sz w:val="24"/>
                <w:szCs w:val="24"/>
              </w:rPr>
              <w:t>评审因素</w:t>
            </w:r>
          </w:p>
        </w:tc>
      </w:tr>
      <w:tr>
        <w:tblPrEx>
          <w:tblCellMar>
            <w:top w:w="0" w:type="dxa"/>
            <w:left w:w="108" w:type="dxa"/>
            <w:bottom w:w="0" w:type="dxa"/>
            <w:right w:w="108" w:type="dxa"/>
          </w:tblCellMar>
        </w:tblPrEx>
        <w:trPr>
          <w:trHeight w:val="90" w:hRule="atLeast"/>
          <w:jc w:val="center"/>
        </w:trPr>
        <w:tc>
          <w:tcPr>
            <w:tcW w:w="669" w:type="dxa"/>
            <w:vMerge w:val="restart"/>
            <w:tcBorders>
              <w:top w:val="single" w:color="auto" w:sz="4" w:space="0"/>
              <w:left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ascii="宋体" w:hAnsi="宋体" w:eastAsia="宋体" w:cs="宋体"/>
                <w:sz w:val="24"/>
                <w:szCs w:val="24"/>
              </w:rPr>
              <w:t>1</w:t>
            </w:r>
          </w:p>
        </w:tc>
        <w:tc>
          <w:tcPr>
            <w:tcW w:w="1220" w:type="dxa"/>
            <w:vMerge w:val="restart"/>
            <w:tcBorders>
              <w:top w:val="single" w:color="auto" w:sz="4" w:space="0"/>
              <w:left w:val="nil"/>
              <w:right w:val="single" w:color="auto" w:sz="4" w:space="0"/>
            </w:tcBorders>
            <w:noWrap/>
            <w:vAlign w:val="center"/>
          </w:tcPr>
          <w:p>
            <w:pPr>
              <w:spacing w:line="420" w:lineRule="exact"/>
              <w:ind w:left="-40"/>
              <w:jc w:val="center"/>
              <w:rPr>
                <w:rFonts w:ascii="宋体" w:hAnsi="宋体" w:eastAsia="宋体" w:cs="宋体"/>
                <w:sz w:val="24"/>
                <w:szCs w:val="24"/>
              </w:rPr>
            </w:pPr>
            <w:r>
              <w:rPr>
                <w:rFonts w:hint="eastAsia" w:ascii="宋体" w:hAnsi="宋体" w:eastAsia="宋体" w:cs="宋体"/>
                <w:sz w:val="24"/>
                <w:szCs w:val="24"/>
              </w:rPr>
              <w:t>服务管理方案</w:t>
            </w:r>
          </w:p>
        </w:tc>
        <w:tc>
          <w:tcPr>
            <w:tcW w:w="670" w:type="dxa"/>
            <w:vMerge w:val="restart"/>
            <w:tcBorders>
              <w:top w:val="single" w:color="auto" w:sz="4" w:space="0"/>
              <w:left w:val="nil"/>
              <w:right w:val="single" w:color="auto" w:sz="4" w:space="0"/>
            </w:tcBorders>
            <w:noWrap/>
            <w:vAlign w:val="center"/>
          </w:tcPr>
          <w:p>
            <w:pPr>
              <w:spacing w:line="420" w:lineRule="exact"/>
              <w:ind w:left="-40"/>
              <w:jc w:val="center"/>
              <w:rPr>
                <w:rFonts w:ascii="宋体" w:hAnsi="宋体" w:eastAsia="宋体" w:cs="宋体"/>
                <w:sz w:val="24"/>
                <w:szCs w:val="24"/>
              </w:rPr>
            </w:pPr>
            <w:r>
              <w:rPr>
                <w:rFonts w:ascii="宋体" w:hAnsi="宋体" w:eastAsia="宋体" w:cs="宋体"/>
                <w:sz w:val="24"/>
                <w:szCs w:val="24"/>
              </w:rPr>
              <w:t>25</w:t>
            </w:r>
          </w:p>
        </w:tc>
        <w:tc>
          <w:tcPr>
            <w:tcW w:w="7080" w:type="dxa"/>
            <w:tcBorders>
              <w:top w:val="single" w:color="auto" w:sz="4" w:space="0"/>
              <w:left w:val="nil"/>
              <w:bottom w:val="single" w:color="auto" w:sz="4" w:space="0"/>
              <w:right w:val="single" w:color="auto" w:sz="4" w:space="0"/>
            </w:tcBorders>
            <w:noWrap/>
            <w:vAlign w:val="center"/>
          </w:tcPr>
          <w:p>
            <w:pPr>
              <w:spacing w:line="320" w:lineRule="exac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导医服务的目标。从人力资源成本、优化门诊服务质量、患者满意度方面进行阐述。</w:t>
            </w:r>
          </w:p>
          <w:p>
            <w:pPr>
              <w:spacing w:line="320" w:lineRule="exact"/>
              <w:rPr>
                <w:rFonts w:ascii="宋体" w:hAnsi="宋体" w:eastAsia="宋体" w:cs="宋体"/>
                <w:sz w:val="24"/>
                <w:szCs w:val="24"/>
              </w:rPr>
            </w:pPr>
            <w:r>
              <w:rPr>
                <w:rFonts w:hint="eastAsia" w:ascii="宋体" w:hAnsi="宋体" w:eastAsia="宋体" w:cs="宋体"/>
                <w:sz w:val="24"/>
                <w:szCs w:val="24"/>
              </w:rPr>
              <w:t>优化人力资源成本、门诊服务质量及提升患者满意度方案目标科学合理、可行性高、完全满足或优于项目需求的得5分；</w:t>
            </w:r>
          </w:p>
          <w:p>
            <w:pPr>
              <w:spacing w:line="320" w:lineRule="exact"/>
              <w:rPr>
                <w:rFonts w:ascii="宋体" w:hAnsi="宋体" w:eastAsia="宋体" w:cs="宋体"/>
                <w:sz w:val="24"/>
                <w:szCs w:val="24"/>
              </w:rPr>
            </w:pPr>
            <w:r>
              <w:rPr>
                <w:rFonts w:hint="eastAsia" w:ascii="宋体" w:hAnsi="宋体" w:eastAsia="宋体" w:cs="宋体"/>
                <w:sz w:val="24"/>
                <w:szCs w:val="24"/>
              </w:rPr>
              <w:t>优化人力资源成本、门诊服务质量及提升患者满意度方案目标较科学合理、可行性较高、基本满足项目需求的得3分；</w:t>
            </w:r>
          </w:p>
          <w:p>
            <w:pPr>
              <w:spacing w:line="320" w:lineRule="exact"/>
              <w:rPr>
                <w:rFonts w:ascii="宋体" w:hAnsi="宋体" w:eastAsia="宋体" w:cs="宋体"/>
                <w:sz w:val="24"/>
                <w:szCs w:val="24"/>
              </w:rPr>
            </w:pPr>
            <w:r>
              <w:rPr>
                <w:rFonts w:hint="eastAsia" w:ascii="宋体" w:hAnsi="宋体" w:eastAsia="宋体" w:cs="宋体"/>
                <w:sz w:val="24"/>
                <w:szCs w:val="24"/>
              </w:rPr>
              <w:t>优化人力资源成本、门诊服务质量及提升患者满意度方案目标不够科学合理、可行性较差、不能满足项目需求的得1分；</w:t>
            </w:r>
          </w:p>
          <w:p>
            <w:pPr>
              <w:spacing w:line="320" w:lineRule="exact"/>
              <w:rPr>
                <w:rFonts w:ascii="宋体" w:hAnsi="宋体" w:eastAsia="宋体" w:cs="宋体"/>
                <w:sz w:val="24"/>
                <w:szCs w:val="24"/>
              </w:rPr>
            </w:pPr>
            <w:r>
              <w:rPr>
                <w:rFonts w:hint="eastAsia" w:ascii="宋体" w:hAnsi="宋体" w:eastAsia="宋体" w:cs="宋体"/>
                <w:sz w:val="24"/>
                <w:szCs w:val="24"/>
              </w:rPr>
              <w:t>未提供的不得分；</w:t>
            </w:r>
          </w:p>
        </w:tc>
      </w:tr>
      <w:tr>
        <w:tblPrEx>
          <w:tblCellMar>
            <w:top w:w="0" w:type="dxa"/>
            <w:left w:w="108" w:type="dxa"/>
            <w:bottom w:w="0" w:type="dxa"/>
            <w:right w:w="108" w:type="dxa"/>
          </w:tblCellMar>
        </w:tblPrEx>
        <w:trPr>
          <w:trHeight w:val="684" w:hRule="atLeast"/>
          <w:jc w:val="center"/>
        </w:trPr>
        <w:tc>
          <w:tcPr>
            <w:tcW w:w="669" w:type="dxa"/>
            <w:vMerge w:val="continue"/>
            <w:tcBorders>
              <w:left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122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67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7080" w:type="dxa"/>
            <w:tcBorders>
              <w:top w:val="single" w:color="auto" w:sz="4" w:space="0"/>
              <w:left w:val="nil"/>
              <w:bottom w:val="single" w:color="auto" w:sz="4" w:space="0"/>
              <w:right w:val="single" w:color="auto" w:sz="4" w:space="0"/>
            </w:tcBorders>
            <w:noWrap/>
            <w:vAlign w:val="center"/>
          </w:tcPr>
          <w:p>
            <w:pPr>
              <w:spacing w:line="420" w:lineRule="exac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导医服务的具体内容、特色与亮点。</w:t>
            </w:r>
          </w:p>
          <w:p>
            <w:pPr>
              <w:spacing w:line="420" w:lineRule="exact"/>
              <w:rPr>
                <w:rFonts w:ascii="宋体" w:hAnsi="宋体" w:eastAsia="宋体" w:cs="宋体"/>
                <w:sz w:val="24"/>
                <w:szCs w:val="24"/>
              </w:rPr>
            </w:pPr>
            <w:r>
              <w:rPr>
                <w:rFonts w:hint="eastAsia" w:ascii="宋体" w:hAnsi="宋体" w:eastAsia="宋体" w:cs="宋体"/>
                <w:sz w:val="24"/>
                <w:szCs w:val="24"/>
              </w:rPr>
              <w:t>内容全面具体，特色亮点鲜明多样、完全满足或优于项目需求的得5分；</w:t>
            </w:r>
          </w:p>
          <w:p>
            <w:pPr>
              <w:spacing w:line="420" w:lineRule="exact"/>
              <w:rPr>
                <w:rFonts w:ascii="宋体" w:hAnsi="宋体" w:eastAsia="宋体" w:cs="宋体"/>
                <w:sz w:val="24"/>
                <w:szCs w:val="24"/>
              </w:rPr>
            </w:pPr>
            <w:r>
              <w:rPr>
                <w:rFonts w:hint="eastAsia" w:ascii="宋体" w:hAnsi="宋体" w:eastAsia="宋体" w:cs="宋体"/>
                <w:sz w:val="24"/>
                <w:szCs w:val="24"/>
              </w:rPr>
              <w:t>内容较全面具体，特色亮点较鲜明多样、基本满足项目需求的得3分；</w:t>
            </w:r>
          </w:p>
          <w:p>
            <w:pPr>
              <w:spacing w:line="420" w:lineRule="exact"/>
              <w:rPr>
                <w:rFonts w:ascii="宋体" w:hAnsi="宋体" w:eastAsia="宋体" w:cs="宋体"/>
                <w:sz w:val="24"/>
                <w:szCs w:val="24"/>
              </w:rPr>
            </w:pPr>
            <w:r>
              <w:rPr>
                <w:rFonts w:hint="eastAsia" w:ascii="宋体" w:hAnsi="宋体" w:eastAsia="宋体" w:cs="宋体"/>
                <w:sz w:val="24"/>
                <w:szCs w:val="24"/>
              </w:rPr>
              <w:t>内容简单片面，没有特色亮点、不够满足项目需求的得1分；</w:t>
            </w:r>
          </w:p>
          <w:p>
            <w:pPr>
              <w:spacing w:line="420" w:lineRule="exact"/>
              <w:rPr>
                <w:rFonts w:ascii="宋体" w:hAnsi="宋体" w:eastAsia="宋体" w:cs="宋体"/>
                <w:sz w:val="24"/>
                <w:szCs w:val="24"/>
              </w:rPr>
            </w:pPr>
            <w:r>
              <w:rPr>
                <w:rFonts w:hint="eastAsia" w:ascii="宋体" w:hAnsi="宋体" w:eastAsia="宋体" w:cs="宋体"/>
                <w:sz w:val="24"/>
                <w:szCs w:val="24"/>
              </w:rPr>
              <w:t>未提供的不得分；</w:t>
            </w:r>
          </w:p>
        </w:tc>
      </w:tr>
      <w:tr>
        <w:tblPrEx>
          <w:tblCellMar>
            <w:top w:w="0" w:type="dxa"/>
            <w:left w:w="108" w:type="dxa"/>
            <w:bottom w:w="0" w:type="dxa"/>
            <w:right w:w="108" w:type="dxa"/>
          </w:tblCellMar>
        </w:tblPrEx>
        <w:trPr>
          <w:trHeight w:val="684" w:hRule="atLeast"/>
          <w:jc w:val="center"/>
        </w:trPr>
        <w:tc>
          <w:tcPr>
            <w:tcW w:w="669" w:type="dxa"/>
            <w:vMerge w:val="continue"/>
            <w:tcBorders>
              <w:left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122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67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7080" w:type="dxa"/>
            <w:tcBorders>
              <w:top w:val="single" w:color="auto" w:sz="4" w:space="0"/>
              <w:left w:val="nil"/>
              <w:bottom w:val="single" w:color="auto" w:sz="4" w:space="0"/>
              <w:right w:val="single" w:color="auto" w:sz="4" w:space="0"/>
            </w:tcBorders>
            <w:noWrap/>
            <w:vAlign w:val="center"/>
          </w:tcPr>
          <w:p>
            <w:pPr>
              <w:spacing w:line="420" w:lineRule="exac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具体管理方案：包括对本项目的情况介绍、管理理念和方法、组织管理、人力资源管理、培训管理（培训包含但不限于企业文化、人力资源、沟通技巧、形象礼仪、消防、心肺复苏等）、绩效和激励、日常运营和现场管理、质量监控与管理；</w:t>
            </w:r>
          </w:p>
          <w:p>
            <w:pPr>
              <w:spacing w:line="420" w:lineRule="exact"/>
              <w:rPr>
                <w:rFonts w:ascii="宋体" w:hAnsi="宋体" w:eastAsia="宋体" w:cs="宋体"/>
                <w:sz w:val="24"/>
                <w:szCs w:val="24"/>
              </w:rPr>
            </w:pPr>
            <w:r>
              <w:rPr>
                <w:rFonts w:hint="eastAsia" w:ascii="宋体" w:hAnsi="宋体" w:eastAsia="宋体" w:cs="宋体"/>
                <w:sz w:val="24"/>
                <w:szCs w:val="24"/>
              </w:rPr>
              <w:t>管理方案内容细致完整包含上述所有要点的，科学合理，可行性针对性强，思路清晰，有结合项目实际分析重点难点问题表述详尽的得5分；</w:t>
            </w:r>
          </w:p>
          <w:p>
            <w:pPr>
              <w:spacing w:line="420" w:lineRule="exact"/>
              <w:rPr>
                <w:rFonts w:ascii="宋体" w:hAnsi="宋体" w:eastAsia="宋体" w:cs="宋体"/>
                <w:sz w:val="24"/>
                <w:szCs w:val="24"/>
              </w:rPr>
            </w:pPr>
            <w:r>
              <w:rPr>
                <w:rFonts w:hint="eastAsia" w:ascii="宋体" w:hAnsi="宋体" w:eastAsia="宋体" w:cs="宋体"/>
                <w:sz w:val="24"/>
                <w:szCs w:val="24"/>
              </w:rPr>
              <w:t>方案内容较完整全面的，较科学合理，可行性针对性较强，思路较清晰的得3分；</w:t>
            </w:r>
          </w:p>
          <w:p>
            <w:pPr>
              <w:spacing w:line="420" w:lineRule="exact"/>
              <w:rPr>
                <w:rFonts w:ascii="宋体" w:hAnsi="宋体" w:eastAsia="宋体" w:cs="宋体"/>
                <w:sz w:val="24"/>
                <w:szCs w:val="24"/>
              </w:rPr>
            </w:pPr>
            <w:r>
              <w:rPr>
                <w:rFonts w:hint="eastAsia" w:ascii="宋体" w:hAnsi="宋体" w:eastAsia="宋体" w:cs="宋体"/>
                <w:sz w:val="24"/>
                <w:szCs w:val="24"/>
              </w:rPr>
              <w:t>方案内容不够完整全面的，科学合理性较差，可行性针对性较差，思路不清晰的得1分；</w:t>
            </w:r>
          </w:p>
          <w:p>
            <w:pPr>
              <w:spacing w:line="420" w:lineRule="exact"/>
              <w:rPr>
                <w:rFonts w:ascii="宋体" w:hAnsi="宋体" w:eastAsia="宋体" w:cs="宋体"/>
                <w:sz w:val="24"/>
                <w:szCs w:val="24"/>
              </w:rPr>
            </w:pPr>
            <w:r>
              <w:rPr>
                <w:rFonts w:hint="eastAsia" w:ascii="宋体" w:hAnsi="宋体" w:eastAsia="宋体" w:cs="宋体"/>
                <w:sz w:val="24"/>
                <w:szCs w:val="24"/>
              </w:rPr>
              <w:t>未提供不得分；</w:t>
            </w:r>
          </w:p>
        </w:tc>
      </w:tr>
      <w:tr>
        <w:tblPrEx>
          <w:tblCellMar>
            <w:top w:w="0" w:type="dxa"/>
            <w:left w:w="108" w:type="dxa"/>
            <w:bottom w:w="0" w:type="dxa"/>
            <w:right w:w="108" w:type="dxa"/>
          </w:tblCellMar>
        </w:tblPrEx>
        <w:trPr>
          <w:trHeight w:val="684" w:hRule="atLeast"/>
          <w:jc w:val="center"/>
        </w:trPr>
        <w:tc>
          <w:tcPr>
            <w:tcW w:w="669" w:type="dxa"/>
            <w:vMerge w:val="continue"/>
            <w:tcBorders>
              <w:left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122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670" w:type="dxa"/>
            <w:vMerge w:val="continue"/>
            <w:tcBorders>
              <w:left w:val="nil"/>
              <w:right w:val="single" w:color="auto" w:sz="4" w:space="0"/>
            </w:tcBorders>
            <w:noWrap/>
            <w:vAlign w:val="center"/>
          </w:tcPr>
          <w:p>
            <w:pPr>
              <w:spacing w:line="420" w:lineRule="exact"/>
              <w:ind w:left="-40"/>
              <w:jc w:val="center"/>
              <w:rPr>
                <w:rFonts w:ascii="宋体" w:hAnsi="宋体" w:eastAsia="宋体" w:cs="宋体"/>
                <w:sz w:val="24"/>
                <w:szCs w:val="24"/>
              </w:rPr>
            </w:pPr>
          </w:p>
        </w:tc>
        <w:tc>
          <w:tcPr>
            <w:tcW w:w="7080" w:type="dxa"/>
            <w:tcBorders>
              <w:top w:val="single" w:color="auto" w:sz="4" w:space="0"/>
              <w:left w:val="nil"/>
              <w:bottom w:val="single" w:color="auto" w:sz="4" w:space="0"/>
              <w:right w:val="single" w:color="auto" w:sz="4" w:space="0"/>
            </w:tcBorders>
            <w:noWrap/>
            <w:vAlign w:val="center"/>
          </w:tcPr>
          <w:p>
            <w:pPr>
              <w:spacing w:line="420" w:lineRule="exact"/>
              <w:rPr>
                <w:rFonts w:ascii="宋体" w:hAnsi="宋体" w:eastAsia="宋体" w:cs="宋体"/>
                <w:sz w:val="24"/>
                <w:szCs w:val="24"/>
              </w:rPr>
            </w:pPr>
            <w:r>
              <w:rPr>
                <w:rFonts w:hint="eastAsia" w:ascii="宋体" w:hAnsi="宋体" w:eastAsia="宋体" w:cs="宋体"/>
                <w:sz w:val="24"/>
                <w:szCs w:val="24"/>
              </w:rPr>
              <w:t>4.服务外包的实施和导入方案：实施中的工作、周期以及需要院方配合的内容。</w:t>
            </w:r>
          </w:p>
          <w:p>
            <w:pPr>
              <w:spacing w:line="420" w:lineRule="exact"/>
              <w:rPr>
                <w:rFonts w:ascii="宋体" w:hAnsi="宋体" w:eastAsia="宋体" w:cs="宋体"/>
                <w:sz w:val="24"/>
                <w:szCs w:val="24"/>
              </w:rPr>
            </w:pPr>
            <w:r>
              <w:rPr>
                <w:rFonts w:hint="eastAsia" w:ascii="宋体" w:hAnsi="宋体" w:eastAsia="宋体" w:cs="宋体"/>
                <w:sz w:val="24"/>
                <w:szCs w:val="24"/>
              </w:rPr>
              <w:t>方案内容全面详细、科学合理、针对性强、可操作性强的得5分；</w:t>
            </w:r>
          </w:p>
          <w:p>
            <w:pPr>
              <w:spacing w:line="420" w:lineRule="exact"/>
              <w:rPr>
                <w:rFonts w:ascii="宋体" w:hAnsi="宋体" w:eastAsia="宋体" w:cs="宋体"/>
                <w:sz w:val="24"/>
                <w:szCs w:val="24"/>
              </w:rPr>
            </w:pPr>
            <w:r>
              <w:rPr>
                <w:rFonts w:hint="eastAsia" w:ascii="宋体" w:hAnsi="宋体" w:eastAsia="宋体" w:cs="宋体"/>
                <w:sz w:val="24"/>
                <w:szCs w:val="24"/>
              </w:rPr>
              <w:t>方案内容较全面详细、较科学合理、针对性较强、可操作性较强的得3分；</w:t>
            </w:r>
          </w:p>
          <w:p>
            <w:pPr>
              <w:spacing w:line="420" w:lineRule="exact"/>
              <w:rPr>
                <w:rFonts w:ascii="宋体" w:hAnsi="宋体" w:eastAsia="宋体" w:cs="宋体"/>
                <w:sz w:val="24"/>
                <w:szCs w:val="24"/>
              </w:rPr>
            </w:pPr>
            <w:r>
              <w:rPr>
                <w:rFonts w:hint="eastAsia" w:ascii="宋体" w:hAnsi="宋体" w:eastAsia="宋体" w:cs="宋体"/>
                <w:sz w:val="24"/>
                <w:szCs w:val="24"/>
              </w:rPr>
              <w:t>方案内容简单片面、不够科学合理、针对性较差、可操作性较差的得1分；</w:t>
            </w:r>
          </w:p>
          <w:p>
            <w:pPr>
              <w:pStyle w:val="2"/>
              <w:rPr>
                <w:rFonts w:ascii="宋体" w:hAnsi="宋体" w:eastAsia="宋体"/>
                <w:b w:val="0"/>
                <w:bCs w:val="0"/>
              </w:rPr>
            </w:pPr>
            <w:r>
              <w:rPr>
                <w:rFonts w:hint="eastAsia" w:ascii="宋体" w:hAnsi="宋体" w:eastAsia="宋体" w:cs="宋体"/>
                <w:b w:val="0"/>
                <w:bCs w:val="0"/>
                <w:sz w:val="24"/>
                <w:szCs w:val="24"/>
              </w:rPr>
              <w:t>未提供不得分；</w:t>
            </w:r>
          </w:p>
        </w:tc>
      </w:tr>
      <w:tr>
        <w:tblPrEx>
          <w:tblCellMar>
            <w:top w:w="0" w:type="dxa"/>
            <w:left w:w="108" w:type="dxa"/>
            <w:bottom w:w="0" w:type="dxa"/>
            <w:right w:w="108" w:type="dxa"/>
          </w:tblCellMar>
        </w:tblPrEx>
        <w:trPr>
          <w:trHeight w:val="1070" w:hRule="atLeast"/>
          <w:jc w:val="center"/>
        </w:trPr>
        <w:tc>
          <w:tcPr>
            <w:tcW w:w="669" w:type="dxa"/>
            <w:vMerge w:val="continue"/>
            <w:tcBorders>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1220" w:type="dxa"/>
            <w:vMerge w:val="continue"/>
            <w:tcBorders>
              <w:left w:val="nil"/>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670" w:type="dxa"/>
            <w:vMerge w:val="continue"/>
            <w:tcBorders>
              <w:left w:val="nil"/>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p>
        </w:tc>
        <w:tc>
          <w:tcPr>
            <w:tcW w:w="7080" w:type="dxa"/>
            <w:tcBorders>
              <w:top w:val="single" w:color="auto" w:sz="4" w:space="0"/>
              <w:left w:val="nil"/>
              <w:bottom w:val="single" w:color="auto" w:sz="4" w:space="0"/>
              <w:right w:val="single" w:color="auto" w:sz="4" w:space="0"/>
            </w:tcBorders>
            <w:noWrap/>
            <w:vAlign w:val="center"/>
          </w:tcPr>
          <w:p>
            <w:pPr>
              <w:spacing w:line="420" w:lineRule="exact"/>
              <w:ind w:left="-40"/>
              <w:rPr>
                <w:rFonts w:ascii="宋体" w:hAnsi="宋体" w:eastAsia="宋体" w:cs="宋体"/>
                <w:sz w:val="24"/>
                <w:szCs w:val="24"/>
              </w:rPr>
            </w:pPr>
            <w:r>
              <w:rPr>
                <w:rFonts w:hint="eastAsia" w:ascii="宋体" w:hAnsi="宋体" w:eastAsia="宋体" w:cs="宋体"/>
                <w:sz w:val="24"/>
                <w:szCs w:val="24"/>
              </w:rPr>
              <w:t>5．退场交接方案、应急措施等</w:t>
            </w:r>
          </w:p>
          <w:p>
            <w:pPr>
              <w:spacing w:line="420" w:lineRule="exact"/>
              <w:ind w:left="-40"/>
              <w:rPr>
                <w:rFonts w:ascii="宋体" w:hAnsi="宋体" w:eastAsia="宋体" w:cs="宋体"/>
                <w:sz w:val="24"/>
                <w:szCs w:val="24"/>
              </w:rPr>
            </w:pPr>
            <w:r>
              <w:rPr>
                <w:rFonts w:hint="eastAsia" w:ascii="宋体" w:hAnsi="宋体" w:eastAsia="宋体" w:cs="宋体"/>
                <w:sz w:val="24"/>
                <w:szCs w:val="24"/>
              </w:rPr>
              <w:t>方案措施内容全面详细、切实可行、针对性强、完全满足或优于医院要求的得5分；</w:t>
            </w:r>
          </w:p>
          <w:p>
            <w:pPr>
              <w:spacing w:line="420" w:lineRule="exact"/>
              <w:ind w:left="-40"/>
              <w:rPr>
                <w:rFonts w:ascii="宋体" w:hAnsi="宋体" w:eastAsia="宋体" w:cs="宋体"/>
                <w:sz w:val="24"/>
                <w:szCs w:val="24"/>
              </w:rPr>
            </w:pPr>
            <w:r>
              <w:rPr>
                <w:rFonts w:hint="eastAsia" w:ascii="宋体" w:hAnsi="宋体" w:eastAsia="宋体" w:cs="宋体"/>
                <w:sz w:val="24"/>
                <w:szCs w:val="24"/>
              </w:rPr>
              <w:t>方案措施内容较全面详细、较切实可行、针对性较强、基本满足医院要求的得3分；</w:t>
            </w:r>
          </w:p>
          <w:p>
            <w:pPr>
              <w:spacing w:line="420" w:lineRule="exact"/>
              <w:ind w:left="-40"/>
              <w:rPr>
                <w:rFonts w:ascii="宋体" w:hAnsi="宋体" w:eastAsia="宋体" w:cs="宋体"/>
                <w:sz w:val="24"/>
                <w:szCs w:val="24"/>
              </w:rPr>
            </w:pPr>
            <w:r>
              <w:rPr>
                <w:rFonts w:hint="eastAsia" w:ascii="宋体" w:hAnsi="宋体" w:eastAsia="宋体" w:cs="宋体"/>
                <w:sz w:val="24"/>
                <w:szCs w:val="24"/>
              </w:rPr>
              <w:t>方案措施内容简单片面、不够切实可行、针对性较差、不能满足医院要求的得1分；</w:t>
            </w:r>
          </w:p>
          <w:p>
            <w:pPr>
              <w:spacing w:line="420" w:lineRule="exact"/>
              <w:ind w:left="-40"/>
              <w:rPr>
                <w:rFonts w:ascii="宋体" w:hAnsi="宋体" w:eastAsia="宋体" w:cs="宋体"/>
                <w:sz w:val="24"/>
                <w:szCs w:val="24"/>
              </w:rPr>
            </w:pPr>
            <w:r>
              <w:rPr>
                <w:rFonts w:hint="eastAsia" w:ascii="宋体" w:hAnsi="宋体" w:eastAsia="宋体" w:cs="宋体"/>
                <w:sz w:val="24"/>
                <w:szCs w:val="24"/>
              </w:rPr>
              <w:t>未提供不得分；</w:t>
            </w:r>
          </w:p>
        </w:tc>
      </w:tr>
      <w:tr>
        <w:tblPrEx>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hint="eastAsia" w:ascii="宋体" w:hAnsi="宋体" w:eastAsia="宋体" w:cs="宋体"/>
                <w:sz w:val="24"/>
                <w:szCs w:val="24"/>
              </w:rPr>
              <w:t>2</w:t>
            </w:r>
          </w:p>
        </w:tc>
        <w:tc>
          <w:tcPr>
            <w:tcW w:w="122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人员配置方案</w:t>
            </w:r>
          </w:p>
        </w:tc>
        <w:tc>
          <w:tcPr>
            <w:tcW w:w="67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5</w:t>
            </w:r>
          </w:p>
        </w:tc>
        <w:tc>
          <w:tcPr>
            <w:tcW w:w="7080" w:type="dxa"/>
            <w:tcBorders>
              <w:top w:val="single" w:color="auto" w:sz="4" w:space="0"/>
              <w:left w:val="nil"/>
              <w:bottom w:val="single" w:color="auto" w:sz="4" w:space="0"/>
              <w:right w:val="single" w:color="auto" w:sz="4" w:space="0"/>
            </w:tcBorders>
            <w:noWrap/>
            <w:vAlign w:val="center"/>
          </w:tcPr>
          <w:p>
            <w:pPr>
              <w:spacing w:line="360" w:lineRule="exact"/>
              <w:ind w:left="-40"/>
              <w:rPr>
                <w:rFonts w:ascii="宋体" w:hAnsi="宋体" w:eastAsia="宋体" w:cs="宋体"/>
                <w:sz w:val="24"/>
                <w:szCs w:val="24"/>
              </w:rPr>
            </w:pPr>
            <w:r>
              <w:rPr>
                <w:rFonts w:hint="eastAsia" w:ascii="宋体" w:hAnsi="宋体" w:eastAsia="宋体" w:cs="宋体"/>
                <w:sz w:val="24"/>
                <w:szCs w:val="24"/>
              </w:rPr>
              <w:t>人员岗位的具体配置。包括：岗位名称、主要岗位配置明细要求、人员名单、人员资历、工作经验、（根据具体给出但不限于人员配置花名册、岗位职责展开）、工作形式及聘任要求等。</w:t>
            </w:r>
          </w:p>
          <w:p>
            <w:pPr>
              <w:spacing w:line="360" w:lineRule="exact"/>
              <w:ind w:left="-40"/>
              <w:rPr>
                <w:rFonts w:ascii="宋体" w:hAnsi="宋体" w:eastAsia="宋体" w:cs="宋体"/>
                <w:sz w:val="24"/>
                <w:szCs w:val="24"/>
              </w:rPr>
            </w:pPr>
            <w:r>
              <w:rPr>
                <w:rFonts w:hint="eastAsia" w:ascii="宋体" w:hAnsi="宋体" w:eastAsia="宋体" w:cs="宋体"/>
                <w:sz w:val="24"/>
                <w:szCs w:val="24"/>
              </w:rPr>
              <w:t>人员配置方案描述详细具体全面、各岗位人员配置齐全到位、科学合理、针对性强、完全满足或优于项目需求的得5分；</w:t>
            </w:r>
          </w:p>
          <w:p>
            <w:pPr>
              <w:spacing w:line="360" w:lineRule="exact"/>
              <w:ind w:left="-40"/>
              <w:rPr>
                <w:rFonts w:ascii="宋体" w:hAnsi="宋体" w:eastAsia="宋体" w:cs="宋体"/>
                <w:sz w:val="24"/>
                <w:szCs w:val="24"/>
              </w:rPr>
            </w:pPr>
            <w:r>
              <w:rPr>
                <w:rFonts w:hint="eastAsia" w:ascii="宋体" w:hAnsi="宋体" w:eastAsia="宋体" w:cs="宋体"/>
                <w:sz w:val="24"/>
                <w:szCs w:val="24"/>
              </w:rPr>
              <w:t>人员配置方案描述较详细具体全面、各岗位人员配置较齐全到位、较科学合理、针对性较强、基本满足项目需求的得3分；</w:t>
            </w:r>
          </w:p>
          <w:p>
            <w:pPr>
              <w:spacing w:line="360" w:lineRule="exact"/>
              <w:ind w:left="-40"/>
              <w:rPr>
                <w:rFonts w:ascii="宋体" w:hAnsi="宋体" w:eastAsia="宋体" w:cs="宋体"/>
                <w:sz w:val="24"/>
                <w:szCs w:val="24"/>
              </w:rPr>
            </w:pPr>
            <w:r>
              <w:rPr>
                <w:rFonts w:hint="eastAsia" w:ascii="宋体" w:hAnsi="宋体" w:eastAsia="宋体" w:cs="宋体"/>
                <w:sz w:val="24"/>
                <w:szCs w:val="24"/>
              </w:rPr>
              <w:t>人员配置方案描述简单片面、各岗位人员配置不到位、不够科学合理、针对性较差、不够满足项目需求的得1分；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未提供的不得分；</w:t>
            </w:r>
          </w:p>
        </w:tc>
      </w:tr>
      <w:tr>
        <w:tblPrEx>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ascii="宋体" w:hAnsi="宋体" w:eastAsia="宋体" w:cs="宋体"/>
                <w:sz w:val="24"/>
                <w:szCs w:val="24"/>
              </w:rPr>
              <w:t>3</w:t>
            </w:r>
          </w:p>
        </w:tc>
        <w:tc>
          <w:tcPr>
            <w:tcW w:w="122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提供完整、全面的现场客服手册</w:t>
            </w:r>
          </w:p>
        </w:tc>
        <w:tc>
          <w:tcPr>
            <w:tcW w:w="67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p>
        </w:tc>
        <w:tc>
          <w:tcPr>
            <w:tcW w:w="7080" w:type="dxa"/>
            <w:tcBorders>
              <w:top w:val="single" w:color="auto" w:sz="4" w:space="0"/>
              <w:left w:val="nil"/>
              <w:bottom w:val="single" w:color="auto" w:sz="4" w:space="0"/>
              <w:right w:val="single" w:color="auto" w:sz="4" w:space="0"/>
            </w:tcBorders>
            <w:noWrap/>
            <w:vAlign w:val="center"/>
          </w:tcPr>
          <w:p>
            <w:pPr>
              <w:spacing w:line="360" w:lineRule="exact"/>
              <w:ind w:left="-40"/>
              <w:rPr>
                <w:rFonts w:ascii="宋体" w:hAnsi="宋体" w:eastAsia="宋体" w:cs="宋体"/>
                <w:sz w:val="24"/>
                <w:szCs w:val="24"/>
              </w:rPr>
            </w:pPr>
            <w:r>
              <w:rPr>
                <w:rFonts w:hint="eastAsia" w:ascii="宋体" w:hAnsi="宋体" w:eastAsia="宋体" w:cs="宋体"/>
                <w:sz w:val="24"/>
                <w:szCs w:val="24"/>
              </w:rPr>
              <w:t>现场客服服务手册的内容包含：服务手册目的及总则、服务形象规范、服务行为规范、工作时间与休假、绩效管理体系、手册的设计制作品质等方面进行全面说明。评委根据投标文件内容进行评审打分。</w:t>
            </w:r>
          </w:p>
          <w:p>
            <w:pPr>
              <w:spacing w:line="360" w:lineRule="exact"/>
              <w:ind w:left="-40"/>
              <w:rPr>
                <w:rFonts w:ascii="宋体" w:hAnsi="宋体" w:eastAsia="宋体" w:cs="宋体"/>
                <w:sz w:val="24"/>
                <w:szCs w:val="24"/>
              </w:rPr>
            </w:pPr>
            <w:r>
              <w:rPr>
                <w:rFonts w:hint="eastAsia" w:ascii="宋体" w:hAnsi="宋体" w:eastAsia="宋体" w:cs="宋体"/>
                <w:sz w:val="24"/>
                <w:szCs w:val="24"/>
              </w:rPr>
              <w:t>1.服务手册的目的及总则（2分）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内容全面详细、科学合理，符合项目需求的得2分；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内容基本全面详细、科学合理性一般，基本符合项目需求的得1分；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内容不全、简单笼统，不符合项目需求的或未提供的不得分；</w:t>
            </w:r>
          </w:p>
          <w:p>
            <w:pPr>
              <w:spacing w:line="360" w:lineRule="exact"/>
              <w:ind w:left="-40"/>
              <w:rPr>
                <w:rFonts w:ascii="宋体" w:hAnsi="宋体" w:eastAsia="宋体" w:cs="宋体"/>
                <w:sz w:val="24"/>
                <w:szCs w:val="24"/>
              </w:rPr>
            </w:pPr>
            <w:r>
              <w:rPr>
                <w:rFonts w:hint="eastAsia" w:ascii="宋体" w:hAnsi="宋体" w:eastAsia="宋体" w:cs="宋体"/>
                <w:sz w:val="24"/>
                <w:szCs w:val="24"/>
              </w:rPr>
              <w:t>2.服务形象规范及服务行为规范（2分）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内容全面详细、科学合理，符合项目需求的得2分；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内容基本全面详细、科学合理性一般，基本符合项目需求的得1分；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内容不全、简单笼统，不符合项目需求的或未提供的不得分；</w:t>
            </w:r>
          </w:p>
          <w:p>
            <w:pPr>
              <w:spacing w:line="360" w:lineRule="exact"/>
              <w:ind w:left="-40"/>
              <w:rPr>
                <w:rFonts w:ascii="宋体" w:hAnsi="宋体" w:eastAsia="宋体" w:cs="宋体"/>
                <w:sz w:val="24"/>
                <w:szCs w:val="24"/>
              </w:rPr>
            </w:pPr>
            <w:r>
              <w:rPr>
                <w:rFonts w:hint="eastAsia" w:ascii="宋体" w:hAnsi="宋体" w:eastAsia="宋体" w:cs="宋体"/>
                <w:sz w:val="24"/>
                <w:szCs w:val="24"/>
              </w:rPr>
              <w:t>3．工作时间与休假安排（2分）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内容全面详细、科学合理，符合项目需求的得2分；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内容基本全面详细、科学合理性一般，基本符合项目需求的得1分；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内容不全、简单笼统，不符合项目需求的或未提供的不得分；</w:t>
            </w:r>
          </w:p>
          <w:p>
            <w:pPr>
              <w:spacing w:line="360" w:lineRule="exact"/>
              <w:ind w:left="-40"/>
              <w:rPr>
                <w:rFonts w:ascii="宋体" w:hAnsi="宋体" w:eastAsia="宋体" w:cs="宋体"/>
                <w:sz w:val="24"/>
                <w:szCs w:val="24"/>
              </w:rPr>
            </w:pPr>
            <w:r>
              <w:rPr>
                <w:rFonts w:hint="eastAsia" w:ascii="宋体" w:hAnsi="宋体" w:eastAsia="宋体" w:cs="宋体"/>
                <w:sz w:val="24"/>
                <w:szCs w:val="24"/>
              </w:rPr>
              <w:t>4．绩效管理体系（2分）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内容全面详细、科学合理，符合项目需求的得2分；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内容基本全面详细、科学合理性一般，基本符合项目需求的得1分；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内容不全、简单笼统，不符合项目需求的或未提供的不得分；</w:t>
            </w:r>
          </w:p>
          <w:p>
            <w:pPr>
              <w:spacing w:line="360" w:lineRule="exact"/>
              <w:ind w:left="-40"/>
              <w:rPr>
                <w:rFonts w:ascii="宋体" w:hAnsi="宋体" w:eastAsia="宋体" w:cs="宋体"/>
                <w:sz w:val="24"/>
                <w:szCs w:val="24"/>
              </w:rPr>
            </w:pPr>
            <w:r>
              <w:rPr>
                <w:rFonts w:hint="eastAsia" w:ascii="宋体" w:hAnsi="宋体" w:eastAsia="宋体" w:cs="宋体"/>
                <w:sz w:val="24"/>
                <w:szCs w:val="24"/>
              </w:rPr>
              <w:t>5．手册的设计制作品质（2分）</w:t>
            </w:r>
          </w:p>
          <w:p>
            <w:pPr>
              <w:spacing w:line="360" w:lineRule="exact"/>
              <w:ind w:left="-40"/>
              <w:rPr>
                <w:rFonts w:ascii="宋体" w:hAnsi="宋体" w:eastAsia="宋体" w:cs="宋体"/>
                <w:sz w:val="24"/>
                <w:szCs w:val="24"/>
              </w:rPr>
            </w:pPr>
            <w:r>
              <w:rPr>
                <w:rFonts w:hint="eastAsia" w:ascii="宋体" w:hAnsi="宋体" w:eastAsia="宋体" w:cs="宋体"/>
                <w:sz w:val="24"/>
                <w:szCs w:val="24"/>
              </w:rPr>
              <w:t>手册设计布局合理、制作精美、品质好得2分；</w:t>
            </w:r>
          </w:p>
          <w:p>
            <w:pPr>
              <w:spacing w:line="360" w:lineRule="exact"/>
              <w:ind w:left="-40"/>
              <w:rPr>
                <w:rFonts w:ascii="宋体" w:hAnsi="宋体" w:eastAsia="宋体" w:cs="宋体"/>
                <w:sz w:val="24"/>
                <w:szCs w:val="24"/>
              </w:rPr>
            </w:pPr>
            <w:r>
              <w:rPr>
                <w:rFonts w:hint="eastAsia" w:ascii="宋体" w:hAnsi="宋体" w:eastAsia="宋体" w:cs="宋体"/>
                <w:sz w:val="24"/>
                <w:szCs w:val="24"/>
              </w:rPr>
              <w:t>手册设计布局一般、制作普通、品质一般得1分；</w:t>
            </w:r>
          </w:p>
          <w:p>
            <w:pPr>
              <w:spacing w:line="360" w:lineRule="exact"/>
              <w:ind w:left="-40"/>
              <w:rPr>
                <w:rFonts w:ascii="宋体" w:hAnsi="宋体" w:eastAsia="宋体" w:cs="宋体"/>
                <w:sz w:val="24"/>
                <w:szCs w:val="24"/>
              </w:rPr>
            </w:pPr>
            <w:r>
              <w:rPr>
                <w:rFonts w:hint="eastAsia" w:ascii="宋体" w:hAnsi="宋体" w:eastAsia="宋体" w:cs="宋体"/>
                <w:sz w:val="24"/>
                <w:szCs w:val="24"/>
              </w:rPr>
              <w:t>设计布局较差、品质较差及未提供的不得分；</w:t>
            </w:r>
          </w:p>
        </w:tc>
      </w:tr>
      <w:tr>
        <w:tblPrEx>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hint="eastAsia" w:ascii="宋体" w:hAnsi="宋体" w:eastAsia="宋体" w:cs="宋体"/>
                <w:sz w:val="24"/>
                <w:szCs w:val="24"/>
              </w:rPr>
              <w:t>4</w:t>
            </w:r>
          </w:p>
        </w:tc>
        <w:tc>
          <w:tcPr>
            <w:tcW w:w="122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服务案例</w:t>
            </w:r>
          </w:p>
        </w:tc>
        <w:tc>
          <w:tcPr>
            <w:tcW w:w="67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p>
        </w:tc>
        <w:tc>
          <w:tcPr>
            <w:tcW w:w="7080" w:type="dxa"/>
            <w:tcBorders>
              <w:top w:val="single" w:color="auto" w:sz="4" w:space="0"/>
              <w:left w:val="nil"/>
              <w:bottom w:val="single" w:color="auto" w:sz="4" w:space="0"/>
              <w:right w:val="single" w:color="auto" w:sz="4" w:space="0"/>
            </w:tcBorders>
            <w:noWrap/>
            <w:vAlign w:val="center"/>
          </w:tcPr>
          <w:p>
            <w:pPr>
              <w:spacing w:line="360" w:lineRule="exact"/>
              <w:ind w:left="-40"/>
              <w:rPr>
                <w:rFonts w:ascii="宋体" w:hAnsi="宋体" w:eastAsia="宋体" w:cs="宋体"/>
                <w:sz w:val="24"/>
                <w:szCs w:val="24"/>
              </w:rPr>
            </w:pPr>
            <w:r>
              <w:rPr>
                <w:rFonts w:hint="eastAsia" w:ascii="宋体" w:hAnsi="宋体" w:eastAsia="宋体" w:cs="宋体"/>
                <w:sz w:val="24"/>
                <w:szCs w:val="24"/>
              </w:rPr>
              <w:t>自2020年01月01日（以合同签订之日起算）起，供应商有类似服务业绩（提供合同复印件），每提供一个得2分，满分10分。</w:t>
            </w:r>
          </w:p>
          <w:p>
            <w:pPr>
              <w:spacing w:line="360" w:lineRule="exact"/>
              <w:ind w:left="-40"/>
              <w:rPr>
                <w:rFonts w:ascii="宋体" w:hAnsi="宋体" w:eastAsia="宋体" w:cs="宋体"/>
                <w:sz w:val="24"/>
                <w:szCs w:val="24"/>
              </w:rPr>
            </w:pPr>
            <w:r>
              <w:rPr>
                <w:rFonts w:hint="eastAsia" w:ascii="宋体" w:hAnsi="宋体" w:eastAsia="宋体" w:cs="宋体"/>
                <w:sz w:val="24"/>
                <w:szCs w:val="24"/>
              </w:rPr>
              <w:t>（提供业绩合同复印件，业绩合同中必须体现医院导医相关外包服务内容，否则不予得分。）</w:t>
            </w:r>
          </w:p>
        </w:tc>
      </w:tr>
      <w:tr>
        <w:tblPrEx>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hint="eastAsia" w:ascii="宋体" w:hAnsi="宋体" w:eastAsia="宋体" w:cs="宋体"/>
                <w:sz w:val="24"/>
                <w:szCs w:val="24"/>
              </w:rPr>
              <w:t>5</w:t>
            </w:r>
          </w:p>
        </w:tc>
        <w:tc>
          <w:tcPr>
            <w:tcW w:w="122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服务满意度以及配套服务</w:t>
            </w:r>
          </w:p>
        </w:tc>
        <w:tc>
          <w:tcPr>
            <w:tcW w:w="67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p>
        </w:tc>
        <w:tc>
          <w:tcPr>
            <w:tcW w:w="7080" w:type="dxa"/>
            <w:tcBorders>
              <w:top w:val="single" w:color="auto" w:sz="4" w:space="0"/>
              <w:left w:val="nil"/>
              <w:bottom w:val="single" w:color="auto" w:sz="4" w:space="0"/>
              <w:right w:val="single" w:color="auto" w:sz="4" w:space="0"/>
            </w:tcBorders>
            <w:noWrap/>
            <w:vAlign w:val="center"/>
          </w:tcPr>
          <w:p>
            <w:pPr>
              <w:spacing w:line="360" w:lineRule="exact"/>
              <w:ind w:left="-40"/>
              <w:rPr>
                <w:rFonts w:ascii="宋体" w:hAnsi="宋体" w:eastAsia="宋体" w:cs="宋体"/>
                <w:sz w:val="24"/>
                <w:szCs w:val="24"/>
              </w:rPr>
            </w:pPr>
            <w:r>
              <w:rPr>
                <w:rFonts w:hint="eastAsia" w:ascii="宋体" w:hAnsi="宋体" w:eastAsia="宋体" w:cs="宋体"/>
                <w:sz w:val="24"/>
                <w:szCs w:val="24"/>
              </w:rPr>
              <w:t>1.服务满意度：供应商所提供的医院导医相关外包服务案例得到相关院方门诊领导认可的，有一个得2分，满分10分。提供合同及医院相关证明复印件。</w:t>
            </w:r>
          </w:p>
          <w:p>
            <w:pPr>
              <w:spacing w:line="360" w:lineRule="exact"/>
              <w:ind w:left="-40"/>
              <w:rPr>
                <w:rFonts w:ascii="宋体" w:hAnsi="宋体" w:eastAsia="宋体" w:cs="宋体"/>
                <w:sz w:val="24"/>
                <w:szCs w:val="24"/>
              </w:rPr>
            </w:pPr>
            <w:r>
              <w:rPr>
                <w:rFonts w:hint="eastAsia" w:ascii="宋体" w:hAnsi="宋体" w:eastAsia="宋体" w:cs="宋体"/>
                <w:sz w:val="24"/>
                <w:szCs w:val="24"/>
              </w:rPr>
              <w:t>2.服务满意度系统：提供服务满意度系统，对患者的投诉和建议进行登记、处理、统计分析。（自行研发的提供软件著作权；向第三方购买的提供软件授权使用证明、购买发票和软件著作权，不提供或提供不全不得分。）满分5分，其他不得分。</w:t>
            </w:r>
          </w:p>
        </w:tc>
      </w:tr>
      <w:tr>
        <w:tblPrEx>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pPr>
              <w:spacing w:line="420" w:lineRule="exact"/>
              <w:ind w:left="-40"/>
              <w:jc w:val="center"/>
              <w:rPr>
                <w:rFonts w:ascii="宋体" w:hAnsi="宋体" w:eastAsia="宋体" w:cs="宋体"/>
                <w:sz w:val="24"/>
                <w:szCs w:val="24"/>
              </w:rPr>
            </w:pPr>
            <w:r>
              <w:rPr>
                <w:rFonts w:hint="eastAsia" w:ascii="宋体" w:hAnsi="宋体" w:eastAsia="宋体" w:cs="宋体"/>
                <w:sz w:val="24"/>
                <w:szCs w:val="24"/>
              </w:rPr>
              <w:t>6</w:t>
            </w:r>
          </w:p>
        </w:tc>
        <w:tc>
          <w:tcPr>
            <w:tcW w:w="122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企业综合实力</w:t>
            </w:r>
          </w:p>
        </w:tc>
        <w:tc>
          <w:tcPr>
            <w:tcW w:w="670" w:type="dxa"/>
            <w:tcBorders>
              <w:top w:val="single" w:color="auto" w:sz="4" w:space="0"/>
              <w:left w:val="nil"/>
              <w:bottom w:val="single" w:color="auto" w:sz="4" w:space="0"/>
              <w:right w:val="single" w:color="auto" w:sz="4" w:space="0"/>
            </w:tcBorders>
            <w:noWrap/>
            <w:vAlign w:val="center"/>
          </w:tcPr>
          <w:p>
            <w:pPr>
              <w:spacing w:line="360" w:lineRule="exact"/>
              <w:ind w:left="-4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p>
        </w:tc>
        <w:tc>
          <w:tcPr>
            <w:tcW w:w="7080" w:type="dxa"/>
            <w:tcBorders>
              <w:top w:val="single" w:color="auto" w:sz="4" w:space="0"/>
              <w:left w:val="nil"/>
              <w:bottom w:val="single" w:color="auto" w:sz="4" w:space="0"/>
              <w:right w:val="single" w:color="auto" w:sz="4" w:space="0"/>
            </w:tcBorders>
            <w:noWrap/>
            <w:vAlign w:val="center"/>
          </w:tcPr>
          <w:p>
            <w:pPr>
              <w:spacing w:line="360" w:lineRule="exact"/>
              <w:ind w:left="-40"/>
              <w:rPr>
                <w:rFonts w:ascii="宋体" w:hAnsi="宋体" w:eastAsia="宋体" w:cs="宋体"/>
                <w:sz w:val="24"/>
                <w:szCs w:val="24"/>
              </w:rPr>
            </w:pPr>
            <w:r>
              <w:rPr>
                <w:rFonts w:hint="eastAsia" w:ascii="宋体" w:hAnsi="宋体" w:eastAsia="宋体" w:cs="宋体"/>
                <w:sz w:val="24"/>
                <w:szCs w:val="24"/>
              </w:rPr>
              <w:t>1．品牌实力：有自己医疗服务品牌的得3分（提供相关证明复印件）；有导医导诊宣传片的得3分（提供宣传片视频截图十张），以上各项没有的不得分，满分6分。</w:t>
            </w:r>
          </w:p>
          <w:p>
            <w:pPr>
              <w:spacing w:line="360" w:lineRule="exact"/>
              <w:ind w:left="-40"/>
              <w:rPr>
                <w:rFonts w:ascii="宋体" w:hAnsi="宋体" w:eastAsia="宋体" w:cs="宋体"/>
                <w:sz w:val="24"/>
                <w:szCs w:val="24"/>
              </w:rPr>
            </w:pPr>
            <w:r>
              <w:rPr>
                <w:rFonts w:hint="eastAsia" w:ascii="宋体" w:hAnsi="宋体" w:eastAsia="宋体" w:cs="宋体"/>
                <w:sz w:val="24"/>
                <w:szCs w:val="24"/>
              </w:rPr>
              <w:t>2．项目实施经理：本公司项目实施经理有从事项目管理的经验且通过PMP项目管理协会认证，项目实施经理有PMP证书得3分，没有不得分。（提供项目实施经理证书复印件、工作经验证明材料以及供应商为其缴纳的2022年任意一个月的社保缴纳证明（成立不足一个月的供应商需提供书面情况说明及相关凭证）。）</w:t>
            </w:r>
          </w:p>
          <w:p>
            <w:pPr>
              <w:spacing w:line="360" w:lineRule="exact"/>
              <w:ind w:left="-40"/>
              <w:rPr>
                <w:rFonts w:ascii="宋体" w:hAnsi="宋体" w:eastAsia="宋体" w:cs="宋体"/>
                <w:sz w:val="24"/>
                <w:szCs w:val="24"/>
              </w:rPr>
            </w:pPr>
            <w:r>
              <w:rPr>
                <w:rFonts w:hint="eastAsia" w:ascii="宋体" w:hAnsi="宋体" w:eastAsia="宋体" w:cs="宋体"/>
                <w:sz w:val="24"/>
                <w:szCs w:val="24"/>
              </w:rPr>
              <w:t>3．资质证书：投标人具有质量体系认证证书（ISO9001）、环境管理体系认证证书（ISO14001）、职业健康安全管理体系认证证书（OHSAS18001）、有一个加2分，满分6分。提供有效的证书复印件加盖公章。</w:t>
            </w:r>
          </w:p>
        </w:tc>
      </w:tr>
    </w:tbl>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w:t>
      </w:r>
      <w:r>
        <w:rPr>
          <w:rFonts w:hint="eastAsia" w:ascii="宋体" w:hAnsi="宋体" w:cs="宋体"/>
          <w:b/>
          <w:sz w:val="24"/>
          <w:szCs w:val="24"/>
          <w:lang w:val="en-US" w:eastAsia="zh-CN"/>
        </w:rPr>
        <w:t>20</w:t>
      </w:r>
      <w:r>
        <w:rPr>
          <w:rFonts w:hint="eastAsia" w:ascii="宋体" w:hAnsi="宋体" w:cs="宋体"/>
          <w:b/>
          <w:sz w:val="24"/>
          <w:szCs w:val="24"/>
        </w:rPr>
        <w:t>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取所有有效投标人的投标总报价参与商务标评审，如评标委员会认为投标人投标价格严重偏离市场价，将取消投标人价格分得分。</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w:t>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val="en-US" w:eastAsia="zh-CN"/>
        </w:rPr>
        <w:t>7</w:t>
      </w:r>
      <w:r>
        <w:rPr>
          <w:rFonts w:hint="eastAsia" w:ascii="Times New Roman" w:hAnsi="Times New Roman" w:eastAsia="宋体" w:cs="宋体"/>
          <w:kern w:val="0"/>
          <w:sz w:val="24"/>
        </w:rPr>
        <w:t>日内须按照磋商文件确定的事项签订采购合同。合同一式四份，采购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4、响应</w:t>
      </w:r>
      <w:r>
        <w:rPr>
          <w:rFonts w:hint="eastAsia" w:ascii="Times New Roman" w:hAnsi="Times New Roman" w:eastAsia="宋体"/>
          <w:sz w:val="24"/>
          <w:szCs w:val="24"/>
        </w:rPr>
        <w:t>供应商</w:t>
      </w:r>
      <w:r>
        <w:rPr>
          <w:rFonts w:hint="eastAsia" w:ascii="Times New Roman" w:hAnsi="Times New Roman" w:eastAsia="宋体"/>
          <w:sz w:val="24"/>
          <w:szCs w:val="24"/>
          <w:lang w:eastAsia="zh-CN"/>
        </w:rPr>
        <w:t>提供</w:t>
      </w:r>
      <w:r>
        <w:rPr>
          <w:rFonts w:hint="eastAsia" w:ascii="Times New Roman" w:hAnsi="Times New Roman" w:eastAsia="宋体"/>
          <w:sz w:val="24"/>
          <w:szCs w:val="24"/>
        </w:rPr>
        <w:t>有效的劳务派遣许可证</w:t>
      </w:r>
      <w:r>
        <w:rPr>
          <w:rFonts w:hint="eastAsia" w:ascii="Times New Roman" w:hAnsi="Times New Roman" w:eastAsia="宋体"/>
          <w:sz w:val="24"/>
          <w:szCs w:val="24"/>
          <w:lang w:eastAsia="zh-CN"/>
        </w:rPr>
        <w:t>。</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南通市第三人民医院导医外包服务项目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南通市第三人民医院导医外包服务项目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南通市第三人民医院导医外包服务项目</w:t>
      </w:r>
    </w:p>
    <w:tbl>
      <w:tblPr>
        <w:tblStyle w:val="21"/>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南通市第三人民医院导医外包服务项目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1"/>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1"/>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autoSpaceDE w:val="0"/>
        <w:autoSpaceDN w:val="0"/>
        <w:adjustRightInd w:val="0"/>
        <w:spacing w:line="360" w:lineRule="auto"/>
        <w:ind w:firstLine="480" w:firstLineChars="200"/>
        <w:contextualSpacing/>
        <w:rPr>
          <w:rFonts w:ascii="Times New Roman" w:hAnsi="Times New Roman" w:eastAsia="宋体"/>
          <w:b w:val="0"/>
          <w:bCs/>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 w:val="0"/>
          <w:bCs/>
          <w:sz w:val="24"/>
          <w:szCs w:val="24"/>
          <w:lang w:eastAsia="zh-CN"/>
        </w:rPr>
        <w:t>包括但不限于</w:t>
      </w:r>
      <w:r>
        <w:rPr>
          <w:rFonts w:hint="eastAsia" w:eastAsia="宋体"/>
          <w:b w:val="0"/>
          <w:bCs/>
          <w:color w:val="000000"/>
          <w:sz w:val="24"/>
          <w:szCs w:val="24"/>
        </w:rPr>
        <w:t>人工（包括工资、奖金、社保、加班费等费用）、专用设备、工具、易耗品、办公设备、信息系统使用、服装、胸卡、保险、培训费、管理费、各种税费、利润、政策性文件规定及合同包含的所有风险、责任等费用。同时，报价也应包含合同履行过程中可能发生的一切风险</w:t>
      </w:r>
      <w:r>
        <w:rPr>
          <w:rFonts w:hint="eastAsia" w:ascii="Times New Roman" w:hAnsi="Times New Roman" w:eastAsia="宋体"/>
          <w:b w:val="0"/>
          <w:bCs/>
          <w:sz w:val="24"/>
          <w:szCs w:val="24"/>
        </w:rPr>
        <w:t>。</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6"/>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9"/>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1"/>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autoSpaceDE w:val="0"/>
        <w:autoSpaceDN w:val="0"/>
        <w:adjustRightInd w:val="0"/>
        <w:spacing w:line="360" w:lineRule="auto"/>
        <w:ind w:firstLine="480" w:firstLineChars="200"/>
        <w:contextualSpacing/>
        <w:rPr>
          <w:rFonts w:ascii="Times New Roman" w:hAnsi="Times New Roman" w:eastAsia="宋体"/>
          <w:b w:val="0"/>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Times New Roman" w:hAnsi="Times New Roman" w:eastAsia="宋体"/>
          <w:b w:val="0"/>
          <w:bCs/>
          <w:sz w:val="24"/>
          <w:szCs w:val="24"/>
          <w:lang w:eastAsia="zh-CN"/>
        </w:rPr>
        <w:t>包括但不限于</w:t>
      </w:r>
      <w:r>
        <w:rPr>
          <w:rFonts w:hint="eastAsia" w:eastAsia="宋体"/>
          <w:b w:val="0"/>
          <w:bCs/>
          <w:color w:val="000000"/>
          <w:sz w:val="24"/>
          <w:szCs w:val="24"/>
        </w:rPr>
        <w:t>人工（包括工资、奖金、社保、加班费等费用）、专用设备、工具、易耗品、办公设备、信息系统使用、服装、胸卡、保险、培训费、管理费、各种税费、利润、政策性文件规定及合同包含的所有风险、责任等费用。同时，报价也应包含合同履行过程中可能发生的一切风险</w:t>
      </w:r>
      <w:r>
        <w:rPr>
          <w:rFonts w:hint="eastAsia" w:ascii="Times New Roman" w:hAnsi="Times New Roman" w:eastAsia="宋体"/>
          <w:b w:val="0"/>
          <w:bCs/>
          <w:sz w:val="24"/>
          <w:szCs w:val="24"/>
        </w:rPr>
        <w:t>。</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A0FB1"/>
    <w:multiLevelType w:val="singleLevel"/>
    <w:tmpl w:val="93BA0FB1"/>
    <w:lvl w:ilvl="0" w:tentative="0">
      <w:start w:val="3"/>
      <w:numFmt w:val="decimal"/>
      <w:suff w:val="nothing"/>
      <w:lvlText w:val="%1、"/>
      <w:lvlJc w:val="left"/>
    </w:lvl>
  </w:abstractNum>
  <w:abstractNum w:abstractNumId="1">
    <w:nsid w:val="B83C66AD"/>
    <w:multiLevelType w:val="singleLevel"/>
    <w:tmpl w:val="B83C66AD"/>
    <w:lvl w:ilvl="0" w:tentative="0">
      <w:start w:val="1"/>
      <w:numFmt w:val="chineseCounting"/>
      <w:suff w:val="nothing"/>
      <w:lvlText w:val="%1、"/>
      <w:lvlJc w:val="left"/>
      <w:rPr>
        <w:rFonts w:hint="eastAsia"/>
      </w:rPr>
    </w:lvl>
  </w:abstractNum>
  <w:abstractNum w:abstractNumId="2">
    <w:nsid w:val="167CF87C"/>
    <w:multiLevelType w:val="singleLevel"/>
    <w:tmpl w:val="167CF87C"/>
    <w:lvl w:ilvl="0" w:tentative="0">
      <w:start w:val="8"/>
      <w:numFmt w:val="decimal"/>
      <w:suff w:val="nothing"/>
      <w:lvlText w:val="%1、"/>
      <w:lvlJc w:val="left"/>
    </w:lvl>
  </w:abstractNum>
  <w:abstractNum w:abstractNumId="3">
    <w:nsid w:val="5B133BB1"/>
    <w:multiLevelType w:val="multilevel"/>
    <w:tmpl w:val="5B133B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B45978"/>
    <w:multiLevelType w:val="multilevel"/>
    <w:tmpl w:val="5FB459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46F3DCB"/>
    <w:multiLevelType w:val="multilevel"/>
    <w:tmpl w:val="646F3DC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770D9"/>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3E379A2"/>
    <w:rsid w:val="041E22FB"/>
    <w:rsid w:val="10E548CC"/>
    <w:rsid w:val="10EF15A7"/>
    <w:rsid w:val="14EA7E81"/>
    <w:rsid w:val="155F3D53"/>
    <w:rsid w:val="157C1E87"/>
    <w:rsid w:val="159468C1"/>
    <w:rsid w:val="15F6320B"/>
    <w:rsid w:val="17BF578A"/>
    <w:rsid w:val="18041AC7"/>
    <w:rsid w:val="18117D55"/>
    <w:rsid w:val="18263421"/>
    <w:rsid w:val="1E163551"/>
    <w:rsid w:val="1F8E2FE8"/>
    <w:rsid w:val="203A77C4"/>
    <w:rsid w:val="224E366C"/>
    <w:rsid w:val="2335285B"/>
    <w:rsid w:val="2508674A"/>
    <w:rsid w:val="274D0351"/>
    <w:rsid w:val="27DE22E9"/>
    <w:rsid w:val="29C97C61"/>
    <w:rsid w:val="29ED11E9"/>
    <w:rsid w:val="2B9F25ED"/>
    <w:rsid w:val="2BD6675A"/>
    <w:rsid w:val="2C5A6960"/>
    <w:rsid w:val="2C6E5A4D"/>
    <w:rsid w:val="2CCE28B7"/>
    <w:rsid w:val="2DD824AC"/>
    <w:rsid w:val="2E1318DE"/>
    <w:rsid w:val="2E672C1C"/>
    <w:rsid w:val="322E658F"/>
    <w:rsid w:val="3329796B"/>
    <w:rsid w:val="34700A2F"/>
    <w:rsid w:val="35CB4299"/>
    <w:rsid w:val="36161DCC"/>
    <w:rsid w:val="366867C2"/>
    <w:rsid w:val="369D6F2B"/>
    <w:rsid w:val="3A3E6499"/>
    <w:rsid w:val="3DA05553"/>
    <w:rsid w:val="3EF274D2"/>
    <w:rsid w:val="401C35B7"/>
    <w:rsid w:val="40423602"/>
    <w:rsid w:val="420764B5"/>
    <w:rsid w:val="42672AE3"/>
    <w:rsid w:val="42F0076F"/>
    <w:rsid w:val="442962A2"/>
    <w:rsid w:val="448734FB"/>
    <w:rsid w:val="4561465A"/>
    <w:rsid w:val="47693BAF"/>
    <w:rsid w:val="48FE0BAD"/>
    <w:rsid w:val="49727F94"/>
    <w:rsid w:val="49D0144A"/>
    <w:rsid w:val="49DC3654"/>
    <w:rsid w:val="4B840262"/>
    <w:rsid w:val="50DB0924"/>
    <w:rsid w:val="53A23A14"/>
    <w:rsid w:val="544F229E"/>
    <w:rsid w:val="54C75483"/>
    <w:rsid w:val="55385BD7"/>
    <w:rsid w:val="56E5418D"/>
    <w:rsid w:val="57AD0693"/>
    <w:rsid w:val="59776BC7"/>
    <w:rsid w:val="59A10AFD"/>
    <w:rsid w:val="59BD0CDA"/>
    <w:rsid w:val="5A4C01FF"/>
    <w:rsid w:val="5A91106B"/>
    <w:rsid w:val="5BD91F04"/>
    <w:rsid w:val="5C855626"/>
    <w:rsid w:val="60480F23"/>
    <w:rsid w:val="64191A38"/>
    <w:rsid w:val="645667E8"/>
    <w:rsid w:val="64FB113D"/>
    <w:rsid w:val="658F2EA6"/>
    <w:rsid w:val="659772A6"/>
    <w:rsid w:val="6742329A"/>
    <w:rsid w:val="675F7512"/>
    <w:rsid w:val="68A84122"/>
    <w:rsid w:val="68AD6BF3"/>
    <w:rsid w:val="696E2E35"/>
    <w:rsid w:val="6A721EA2"/>
    <w:rsid w:val="6C1132E7"/>
    <w:rsid w:val="6E9616EC"/>
    <w:rsid w:val="700D0A38"/>
    <w:rsid w:val="707A560C"/>
    <w:rsid w:val="712D5BF6"/>
    <w:rsid w:val="71AD12AD"/>
    <w:rsid w:val="71EA5EF0"/>
    <w:rsid w:val="71FE0379"/>
    <w:rsid w:val="72BF1288"/>
    <w:rsid w:val="73392B0C"/>
    <w:rsid w:val="762F76F3"/>
    <w:rsid w:val="76B22FC1"/>
    <w:rsid w:val="78031A85"/>
    <w:rsid w:val="798C7570"/>
    <w:rsid w:val="7B85422E"/>
    <w:rsid w:val="7C462374"/>
    <w:rsid w:val="7D5A2578"/>
    <w:rsid w:val="7E633C7C"/>
    <w:rsid w:val="7EFD3971"/>
    <w:rsid w:val="7F0E2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30"/>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99"/>
    <w:pPr>
      <w:keepNext/>
      <w:keepLines/>
      <w:adjustRightInd w:val="0"/>
      <w:spacing w:line="376" w:lineRule="atLeast"/>
      <w:textAlignment w:val="baseline"/>
      <w:outlineLvl w:val="3"/>
    </w:pPr>
    <w:rPr>
      <w:rFonts w:ascii="Arial" w:hAnsi="Arial" w:eastAsia="黑体" w:cs="Arial"/>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31"/>
    <w:semiHidden/>
    <w:unhideWhenUsed/>
    <w:qFormat/>
    <w:uiPriority w:val="99"/>
    <w:rPr>
      <w:rFonts w:ascii="宋体" w:eastAsia="宋体"/>
      <w:sz w:val="18"/>
      <w:szCs w:val="18"/>
    </w:rPr>
  </w:style>
  <w:style w:type="paragraph" w:styleId="7">
    <w:name w:val="toa heading"/>
    <w:basedOn w:val="1"/>
    <w:next w:val="1"/>
    <w:qFormat/>
    <w:uiPriority w:val="0"/>
    <w:rPr>
      <w:rFonts w:ascii="Arial" w:hAnsi="Arial" w:eastAsia="宋体" w:cs="Times New Roman"/>
      <w:sz w:val="24"/>
      <w:szCs w:val="21"/>
    </w:rPr>
  </w:style>
  <w:style w:type="paragraph" w:styleId="8">
    <w:name w:val="annotation text"/>
    <w:basedOn w:val="1"/>
    <w:link w:val="34"/>
    <w:semiHidden/>
    <w:unhideWhenUsed/>
    <w:qFormat/>
    <w:uiPriority w:val="99"/>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qFormat/>
    <w:uiPriority w:val="0"/>
    <w:pPr>
      <w:ind w:left="1260"/>
    </w:pPr>
    <w:rPr>
      <w:rFonts w:ascii="Calibri" w:hAnsi="Calibri" w:eastAsia="宋体" w:cs="Times New Roman"/>
      <w:szCs w:val="20"/>
    </w:rPr>
  </w:style>
  <w:style w:type="paragraph" w:styleId="12">
    <w:name w:val="toc 3"/>
    <w:basedOn w:val="1"/>
    <w:next w:val="1"/>
    <w:qFormat/>
    <w:uiPriority w:val="0"/>
    <w:pPr>
      <w:ind w:left="840" w:leftChars="400"/>
    </w:pPr>
    <w:rPr>
      <w:rFonts w:ascii="Calibri" w:hAnsi="Calibri" w:eastAsia="宋体" w:cs="Times New Roman"/>
      <w:szCs w:val="20"/>
    </w:rPr>
  </w:style>
  <w:style w:type="paragraph" w:styleId="13">
    <w:name w:val="Plain Text"/>
    <w:basedOn w:val="1"/>
    <w:next w:val="1"/>
    <w:link w:val="40"/>
    <w:qFormat/>
    <w:uiPriority w:val="99"/>
    <w:rPr>
      <w:rFonts w:ascii="宋体" w:hAnsi="Courier New" w:eastAsia="宋体" w:cs="Times New Roman"/>
      <w:szCs w:val="20"/>
    </w:rPr>
  </w:style>
  <w:style w:type="paragraph" w:styleId="14">
    <w:name w:val="Balloon Text"/>
    <w:basedOn w:val="1"/>
    <w:link w:val="33"/>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annotation subject"/>
    <w:basedOn w:val="8"/>
    <w:next w:val="8"/>
    <w:link w:val="35"/>
    <w:semiHidden/>
    <w:unhideWhenUsed/>
    <w:qFormat/>
    <w:uiPriority w:val="99"/>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6"/>
    <w:qFormat/>
    <w:uiPriority w:val="99"/>
    <w:rPr>
      <w:sz w:val="18"/>
      <w:szCs w:val="18"/>
    </w:rPr>
  </w:style>
  <w:style w:type="character" w:customStyle="1" w:styleId="27">
    <w:name w:val="页脚 Char"/>
    <w:basedOn w:val="23"/>
    <w:link w:val="15"/>
    <w:qFormat/>
    <w:uiPriority w:val="99"/>
    <w:rPr>
      <w:sz w:val="18"/>
      <w:szCs w:val="18"/>
    </w:rPr>
  </w:style>
  <w:style w:type="character" w:customStyle="1" w:styleId="28">
    <w:name w:val="正文缩进 Char"/>
    <w:link w:val="5"/>
    <w:qFormat/>
    <w:uiPriority w:val="0"/>
    <w:rPr>
      <w:rFonts w:ascii="Calibri" w:hAnsi="Calibri" w:eastAsia="楷体_GB2312" w:cs="Times New Roman"/>
      <w:kern w:val="0"/>
      <w:sz w:val="24"/>
      <w:szCs w:val="20"/>
    </w:rPr>
  </w:style>
  <w:style w:type="character" w:customStyle="1" w:styleId="29">
    <w:name w:val="标题 1 Char"/>
    <w:basedOn w:val="23"/>
    <w:link w:val="3"/>
    <w:qFormat/>
    <w:uiPriority w:val="0"/>
    <w:rPr>
      <w:rFonts w:ascii="Calibri" w:hAnsi="Calibri" w:eastAsia="楷体_GB2312" w:cs="Times New Roman"/>
      <w:b/>
      <w:kern w:val="44"/>
      <w:sz w:val="44"/>
      <w:szCs w:val="20"/>
    </w:rPr>
  </w:style>
  <w:style w:type="character" w:customStyle="1" w:styleId="30">
    <w:name w:val="标题 2 Char"/>
    <w:basedOn w:val="23"/>
    <w:link w:val="4"/>
    <w:qFormat/>
    <w:uiPriority w:val="9"/>
    <w:rPr>
      <w:rFonts w:asciiTheme="majorHAnsi" w:hAnsiTheme="majorHAnsi" w:eastAsiaTheme="majorEastAsia" w:cstheme="majorBidi"/>
      <w:b/>
      <w:bCs/>
      <w:sz w:val="32"/>
      <w:szCs w:val="32"/>
    </w:rPr>
  </w:style>
  <w:style w:type="character" w:customStyle="1" w:styleId="31">
    <w:name w:val="文档结构图 Char"/>
    <w:basedOn w:val="23"/>
    <w:link w:val="6"/>
    <w:semiHidden/>
    <w:qFormat/>
    <w:uiPriority w:val="99"/>
    <w:rPr>
      <w:rFonts w:ascii="宋体" w:eastAsia="宋体"/>
      <w:sz w:val="18"/>
      <w:szCs w:val="18"/>
    </w:rPr>
  </w:style>
  <w:style w:type="character" w:customStyle="1" w:styleId="32">
    <w:name w:val="NormalCharacter"/>
    <w:qFormat/>
    <w:uiPriority w:val="0"/>
    <w:rPr>
      <w:rFonts w:ascii="Times New Roman" w:hAnsi="Times New Roman" w:eastAsia="宋体" w:cs="Times New Roman"/>
    </w:rPr>
  </w:style>
  <w:style w:type="character" w:customStyle="1" w:styleId="33">
    <w:name w:val="批注框文本 Char"/>
    <w:basedOn w:val="23"/>
    <w:link w:val="14"/>
    <w:semiHidden/>
    <w:qFormat/>
    <w:uiPriority w:val="99"/>
    <w:rPr>
      <w:kern w:val="2"/>
      <w:sz w:val="18"/>
      <w:szCs w:val="18"/>
    </w:rPr>
  </w:style>
  <w:style w:type="character" w:customStyle="1" w:styleId="34">
    <w:name w:val="批注文字 Char"/>
    <w:basedOn w:val="23"/>
    <w:link w:val="8"/>
    <w:semiHidden/>
    <w:qFormat/>
    <w:uiPriority w:val="99"/>
    <w:rPr>
      <w:kern w:val="2"/>
      <w:sz w:val="21"/>
      <w:szCs w:val="22"/>
    </w:rPr>
  </w:style>
  <w:style w:type="character" w:customStyle="1" w:styleId="35">
    <w:name w:val="批注主题 Char"/>
    <w:basedOn w:val="34"/>
    <w:link w:val="19"/>
    <w:semiHidden/>
    <w:qFormat/>
    <w:uiPriority w:val="99"/>
    <w:rPr>
      <w:b/>
      <w:bCs/>
      <w:kern w:val="2"/>
      <w:sz w:val="21"/>
      <w:szCs w:val="22"/>
    </w:rPr>
  </w:style>
  <w:style w:type="character" w:customStyle="1" w:styleId="36">
    <w:name w:val="普通正文 Char"/>
    <w:link w:val="37"/>
    <w:qFormat/>
    <w:uiPriority w:val="0"/>
    <w:rPr>
      <w:rFonts w:ascii="Arial" w:hAnsi="Arial"/>
      <w:sz w:val="24"/>
      <w:szCs w:val="24"/>
    </w:rPr>
  </w:style>
  <w:style w:type="paragraph" w:customStyle="1" w:styleId="37">
    <w:name w:val="普通正文"/>
    <w:basedOn w:val="1"/>
    <w:link w:val="36"/>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38">
    <w:name w:val="Normal_6"/>
    <w:qFormat/>
    <w:uiPriority w:val="0"/>
    <w:rPr>
      <w:rFonts w:ascii="Times New Roman" w:hAnsi="Times New Roman" w:eastAsia="Times New Roman" w:cs="Times New Roman"/>
      <w:sz w:val="24"/>
      <w:szCs w:val="24"/>
      <w:lang w:val="en-US" w:eastAsia="zh-CN" w:bidi="ar-SA"/>
    </w:rPr>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 w:type="character" w:customStyle="1" w:styleId="40">
    <w:name w:val="纯文本 Char"/>
    <w:basedOn w:val="23"/>
    <w:link w:val="13"/>
    <w:qFormat/>
    <w:locked/>
    <w:uiPriority w:val="0"/>
    <w:rPr>
      <w:rFonts w:ascii="宋体" w:hAnsi="Courier New" w:eastAsia="宋体" w:cs="Times New Roman"/>
      <w:kern w:val="2"/>
      <w:sz w:val="21"/>
    </w:rPr>
  </w:style>
  <w:style w:type="paragraph" w:styleId="41">
    <w:name w:val="List Paragraph"/>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18043</Words>
  <Characters>18347</Characters>
  <Lines>120</Lines>
  <Paragraphs>33</Paragraphs>
  <TotalTime>219</TotalTime>
  <ScaleCrop>false</ScaleCrop>
  <LinksUpToDate>false</LinksUpToDate>
  <CharactersWithSpaces>18423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2023-08-22T06:16:07Z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F99934A2478944E8B1F674CEDE9740A3_13</vt:lpwstr>
  </property>
</Properties>
</file>