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p>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pStyle w:val="37"/>
        <w:spacing w:before="0" w:after="0"/>
        <w:ind w:firstLine="0"/>
        <w:rPr>
          <w:rFonts w:ascii="Times New Roman" w:hAnsi="Times New Roman" w:eastAsia="宋体"/>
          <w:b/>
          <w:sz w:val="56"/>
          <w:szCs w:val="56"/>
        </w:rPr>
      </w:pPr>
      <w:r>
        <w:rPr>
          <w:rFonts w:hint="eastAsia" w:ascii="Times New Roman" w:hAnsi="Times New Roman" w:eastAsia="宋体"/>
          <w:b/>
          <w:sz w:val="56"/>
          <w:szCs w:val="56"/>
        </w:rPr>
        <w:t>南通市第三人民医院</w:t>
      </w:r>
      <w:r>
        <w:rPr>
          <w:rFonts w:hint="eastAsia" w:ascii="Times New Roman" w:hAnsi="Times New Roman" w:eastAsia="宋体"/>
          <w:b/>
          <w:sz w:val="56"/>
          <w:szCs w:val="56"/>
          <w:lang w:val="en-US" w:eastAsia="zh-CN"/>
        </w:rPr>
        <w:t>消防安全评估项目</w:t>
      </w: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2023年0</w:t>
      </w:r>
      <w:r>
        <w:rPr>
          <w:rFonts w:hint="eastAsia" w:ascii="Times New Roman" w:hAnsi="Times New Roman" w:eastAsia="宋体" w:cs="宋体"/>
          <w:b/>
          <w:sz w:val="30"/>
          <w:szCs w:val="30"/>
          <w:lang w:val="en-US" w:eastAsia="zh-CN"/>
        </w:rPr>
        <w:t>9</w:t>
      </w:r>
      <w:r>
        <w:rPr>
          <w:rFonts w:hint="eastAsia" w:ascii="Times New Roman" w:hAnsi="Times New Roman" w:eastAsia="宋体" w:cs="宋体"/>
          <w:b/>
          <w:sz w:val="30"/>
          <w:szCs w:val="30"/>
        </w:rPr>
        <w:t>月</w:t>
      </w: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5"/>
        <w:overflowPunct w:val="0"/>
        <w:spacing w:line="360" w:lineRule="auto"/>
        <w:ind w:firstLine="0"/>
        <w:jc w:val="center"/>
        <w:rPr>
          <w:rFonts w:ascii="Times New Roman" w:hAnsi="Times New Roman" w:eastAsia="宋体"/>
          <w:sz w:val="30"/>
        </w:rPr>
      </w:pP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第三章 项目需求</w:t>
      </w: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7"/>
        <w:tabs>
          <w:tab w:val="right" w:leader="dot" w:pos="9528"/>
        </w:tabs>
        <w:spacing w:line="360" w:lineRule="auto"/>
        <w:rPr>
          <w:rFonts w:ascii="Times New Roman" w:hAnsi="Times New Roman" w:eastAsia="宋体"/>
          <w:sz w:val="32"/>
          <w:szCs w:val="32"/>
        </w:rPr>
      </w:pPr>
      <w:r>
        <w:rPr>
          <w:rFonts w:hint="eastAsia" w:ascii="Times New Roman" w:hAnsi="Times New Roman" w:eastAsia="宋体"/>
          <w:sz w:val="32"/>
          <w:szCs w:val="32"/>
        </w:rPr>
        <w:t>第五章 合同授予</w:t>
      </w:r>
    </w:p>
    <w:p>
      <w:pPr>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360" w:lineRule="auto"/>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spacing w:line="360" w:lineRule="auto"/>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0"/>
        <w:spacing w:after="0" w:line="360" w:lineRule="auto"/>
        <w:rPr>
          <w:rFonts w:ascii="Times New Roman" w:hAnsi="Times New Roman" w:eastAsia="宋体"/>
        </w:rPr>
      </w:pPr>
      <w:r>
        <w:rPr>
          <w:rFonts w:ascii="Times New Roman" w:hAnsi="Times New Roman" w:eastAsia="宋体"/>
        </w:rPr>
        <w:br w:type="page"/>
      </w:r>
    </w:p>
    <w:p>
      <w:pPr>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3"/>
        <w:keepNext w:val="0"/>
        <w:keepLines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宋体"/>
          <w:bCs/>
          <w:sz w:val="24"/>
          <w:szCs w:val="24"/>
          <w:highlight w:val="none"/>
          <w:u w:val="single"/>
        </w:rPr>
      </w:pPr>
      <w:r>
        <w:rPr>
          <w:rFonts w:hint="eastAsia" w:ascii="Times New Roman" w:hAnsi="Times New Roman" w:eastAsia="宋体" w:cs="Times New Roman"/>
          <w:sz w:val="24"/>
          <w:szCs w:val="24"/>
          <w:lang w:eastAsia="zh-CN"/>
        </w:rPr>
        <w:t>南通市第三人民医院消防安全评估项目</w:t>
      </w:r>
      <w:r>
        <w:rPr>
          <w:rFonts w:hint="eastAsia" w:ascii="Times New Roman" w:hAnsi="Times New Roman" w:eastAsia="宋体" w:cs="Times New Roman"/>
          <w:sz w:val="24"/>
          <w:szCs w:val="24"/>
        </w:rPr>
        <w:t>的潜在供应商应在南通市第三人民医院官网获取采购文件，并于</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09</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26</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5</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bCs/>
          <w:sz w:val="24"/>
          <w:szCs w:val="24"/>
          <w:highlight w:val="none"/>
        </w:rPr>
        <w:t>（北京时间）</w:t>
      </w:r>
      <w:r>
        <w:rPr>
          <w:rFonts w:hint="eastAsia" w:ascii="Times New Roman" w:hAnsi="Times New Roman" w:eastAsia="宋体" w:cs="Times New Roman"/>
          <w:sz w:val="24"/>
          <w:szCs w:val="24"/>
          <w:highlight w:val="none"/>
        </w:rPr>
        <w:t>前提交响应文件。</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一、项目基本情况</w:t>
      </w:r>
    </w:p>
    <w:p>
      <w:pPr>
        <w:spacing w:line="360" w:lineRule="auto"/>
        <w:ind w:firstLine="480" w:firstLineChars="200"/>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rPr>
        <w:t>1、项目编号：</w:t>
      </w:r>
    </w:p>
    <w:p>
      <w:pPr>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2、项目名称：</w:t>
      </w:r>
      <w:r>
        <w:rPr>
          <w:rFonts w:hint="eastAsia" w:ascii="Times New Roman" w:hAnsi="Times New Roman" w:eastAsia="宋体" w:cs="Times New Roman"/>
          <w:sz w:val="24"/>
          <w:szCs w:val="24"/>
          <w:highlight w:val="none"/>
          <w:lang w:eastAsia="zh-CN"/>
        </w:rPr>
        <w:t>南通市第三人民医院消防安全评估项目</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3、采购人式：□竞争性谈判 </w:t>
      </w:r>
      <w:r>
        <w:rPr>
          <w:rFonts w:hint="eastAsia" w:ascii="Times New Roman" w:hAnsi="Times New Roman" w:eastAsia="MS Mincho" w:cs="MS Mincho"/>
          <w:sz w:val="24"/>
          <w:szCs w:val="24"/>
          <w:highlight w:val="none"/>
        </w:rPr>
        <w:t>☑</w:t>
      </w:r>
      <w:r>
        <w:rPr>
          <w:rFonts w:hint="eastAsia" w:ascii="Times New Roman" w:hAnsi="Times New Roman" w:eastAsia="宋体" w:cs="宋体"/>
          <w:sz w:val="24"/>
          <w:szCs w:val="24"/>
          <w:highlight w:val="none"/>
        </w:rPr>
        <w:t>竞争性磋商 □询价</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4、预算金额：约</w:t>
      </w:r>
      <w:r>
        <w:rPr>
          <w:rFonts w:hint="eastAsia" w:ascii="Times New Roman" w:hAnsi="Times New Roman" w:eastAsia="宋体" w:cs="宋体"/>
          <w:sz w:val="24"/>
          <w:szCs w:val="24"/>
          <w:highlight w:val="none"/>
          <w:u w:val="single"/>
        </w:rPr>
        <w:t xml:space="preserve"> </w:t>
      </w:r>
      <w:r>
        <w:rPr>
          <w:rFonts w:hint="eastAsia" w:ascii="宋体" w:hAnsi="宋体"/>
          <w:sz w:val="24"/>
          <w:szCs w:val="24"/>
          <w:u w:val="single"/>
        </w:rPr>
        <w:t>2</w:t>
      </w:r>
      <w:r>
        <w:rPr>
          <w:rFonts w:ascii="宋体" w:hAnsi="宋体"/>
          <w:sz w:val="24"/>
          <w:szCs w:val="24"/>
          <w:u w:val="single"/>
        </w:rPr>
        <w:t>.68</w:t>
      </w:r>
      <w:r>
        <w:rPr>
          <w:rFonts w:hint="eastAsia" w:ascii="Times New Roman" w:hAnsi="Times New Roman" w:eastAsia="宋体" w:cs="宋体"/>
          <w:sz w:val="24"/>
          <w:szCs w:val="24"/>
          <w:highlight w:val="none"/>
          <w:u w:val="single"/>
        </w:rPr>
        <w:t xml:space="preserve"> </w:t>
      </w:r>
      <w:r>
        <w:rPr>
          <w:rFonts w:hint="eastAsia" w:ascii="Times New Roman" w:hAnsi="Times New Roman" w:eastAsia="宋体" w:cs="宋体"/>
          <w:sz w:val="24"/>
          <w:szCs w:val="24"/>
          <w:highlight w:val="none"/>
        </w:rPr>
        <w:t>万元</w:t>
      </w:r>
    </w:p>
    <w:p>
      <w:pPr>
        <w:spacing w:line="360" w:lineRule="auto"/>
        <w:ind w:firstLine="480" w:firstLineChars="200"/>
        <w:rPr>
          <w:rFonts w:ascii="Times New Roman" w:hAnsi="Times New Roman" w:eastAsia="宋体" w:cs="宋体"/>
          <w:sz w:val="24"/>
          <w:szCs w:val="24"/>
          <w:highlight w:val="none"/>
          <w:u w:val="single"/>
        </w:rPr>
      </w:pPr>
      <w:r>
        <w:rPr>
          <w:rFonts w:hint="eastAsia" w:ascii="Times New Roman" w:hAnsi="Times New Roman" w:eastAsia="宋体" w:cs="宋体"/>
          <w:sz w:val="24"/>
          <w:szCs w:val="24"/>
          <w:highlight w:val="none"/>
        </w:rPr>
        <w:t>5、最高限价：</w:t>
      </w:r>
      <w:r>
        <w:rPr>
          <w:rFonts w:hint="eastAsia" w:ascii="Times New Roman" w:hAnsi="Times New Roman" w:eastAsia="宋体" w:cs="宋体"/>
          <w:sz w:val="24"/>
          <w:szCs w:val="24"/>
          <w:highlight w:val="none"/>
          <w:u w:val="single"/>
        </w:rPr>
        <w:t xml:space="preserve"> </w:t>
      </w:r>
      <w:r>
        <w:rPr>
          <w:rFonts w:hint="eastAsia" w:ascii="宋体" w:hAnsi="宋体"/>
          <w:sz w:val="24"/>
          <w:szCs w:val="24"/>
          <w:u w:val="single"/>
        </w:rPr>
        <w:t>2</w:t>
      </w:r>
      <w:r>
        <w:rPr>
          <w:rFonts w:ascii="宋体" w:hAnsi="宋体"/>
          <w:sz w:val="24"/>
          <w:szCs w:val="24"/>
          <w:u w:val="single"/>
        </w:rPr>
        <w:t>.68</w:t>
      </w:r>
      <w:r>
        <w:rPr>
          <w:rFonts w:hint="eastAsia" w:ascii="Times New Roman" w:hAnsi="Times New Roman" w:eastAsia="宋体" w:cs="宋体"/>
          <w:sz w:val="24"/>
          <w:szCs w:val="24"/>
          <w:highlight w:val="none"/>
          <w:u w:val="single"/>
        </w:rPr>
        <w:t xml:space="preserve"> </w:t>
      </w:r>
      <w:r>
        <w:rPr>
          <w:rFonts w:hint="eastAsia" w:ascii="Times New Roman" w:hAnsi="Times New Roman" w:eastAsia="宋体" w:cs="宋体"/>
          <w:sz w:val="24"/>
          <w:szCs w:val="24"/>
          <w:highlight w:val="none"/>
        </w:rPr>
        <w:t>万元</w:t>
      </w:r>
      <w:r>
        <w:rPr>
          <w:rFonts w:hint="eastAsia" w:ascii="Times New Roman" w:hAnsi="Times New Roman" w:eastAsia="宋体" w:cs="仿宋"/>
          <w:bCs/>
          <w:sz w:val="24"/>
          <w:szCs w:val="20"/>
          <w:highlight w:val="none"/>
        </w:rPr>
        <w:t>，报价超过最高限价的为无效响应文件；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6、采购需求：</w:t>
      </w:r>
      <w:r>
        <w:rPr>
          <w:rFonts w:hint="eastAsia" w:ascii="Times New Roman" w:hAnsi="Times New Roman" w:eastAsia="宋体" w:cs="Times New Roman"/>
          <w:sz w:val="24"/>
          <w:szCs w:val="24"/>
          <w:highlight w:val="none"/>
          <w:lang w:val="zh-CN" w:eastAsia="zh-CN"/>
        </w:rPr>
        <w:t>为</w:t>
      </w:r>
      <w:r>
        <w:rPr>
          <w:rFonts w:hint="eastAsia" w:ascii="Times New Roman" w:hAnsi="Times New Roman" w:eastAsia="宋体" w:cs="Times New Roman"/>
          <w:sz w:val="24"/>
          <w:szCs w:val="24"/>
          <w:highlight w:val="none"/>
          <w:lang w:eastAsia="zh-CN"/>
        </w:rPr>
        <w:t>南通市第三人民医院进行消防安全评估；</w:t>
      </w:r>
      <w:r>
        <w:rPr>
          <w:rFonts w:hint="eastAsia" w:ascii="Times New Roman" w:hAnsi="Times New Roman" w:eastAsia="宋体" w:cs="宋体"/>
          <w:sz w:val="24"/>
          <w:szCs w:val="24"/>
          <w:highlight w:val="none"/>
        </w:rPr>
        <w:t>具体内容详见竞争性磋商文件第三章项目需求。</w:t>
      </w:r>
    </w:p>
    <w:p>
      <w:pPr>
        <w:spacing w:line="360" w:lineRule="auto"/>
        <w:ind w:firstLine="480" w:firstLineChars="200"/>
        <w:rPr>
          <w:rFonts w:hint="eastAsia" w:ascii="Times New Roman" w:hAnsi="Times New Roman" w:eastAsia="宋体" w:cs="Times New Roman"/>
          <w:sz w:val="24"/>
          <w:szCs w:val="24"/>
          <w:highlight w:val="none"/>
          <w:lang w:val="zh-CN" w:eastAsia="zh-CN"/>
        </w:rPr>
      </w:pPr>
      <w:r>
        <w:rPr>
          <w:rFonts w:hint="eastAsia" w:ascii="Times New Roman" w:hAnsi="Times New Roman" w:eastAsia="宋体" w:cs="宋体"/>
          <w:sz w:val="24"/>
          <w:szCs w:val="24"/>
          <w:highlight w:val="none"/>
        </w:rPr>
        <w:t>7、</w:t>
      </w:r>
      <w:r>
        <w:rPr>
          <w:rFonts w:hint="eastAsia" w:ascii="Times New Roman" w:hAnsi="Times New Roman" w:eastAsia="宋体" w:cs="宋体"/>
          <w:sz w:val="24"/>
          <w:szCs w:val="24"/>
          <w:highlight w:val="none"/>
          <w:lang w:eastAsia="zh-CN"/>
        </w:rPr>
        <w:t>服务</w:t>
      </w:r>
      <w:r>
        <w:rPr>
          <w:rFonts w:hint="eastAsia" w:ascii="Times New Roman" w:hAnsi="Times New Roman" w:eastAsia="宋体" w:cs="宋体"/>
          <w:sz w:val="24"/>
          <w:szCs w:val="24"/>
          <w:highlight w:val="none"/>
        </w:rPr>
        <w:t>期</w:t>
      </w:r>
      <w:r>
        <w:rPr>
          <w:rFonts w:hint="eastAsia" w:ascii="Times New Roman" w:hAnsi="Times New Roman" w:eastAsia="宋体" w:cs="宋体"/>
          <w:sz w:val="24"/>
          <w:szCs w:val="24"/>
          <w:highlight w:val="none"/>
          <w:lang w:eastAsia="zh-CN"/>
        </w:rPr>
        <w:t>限：</w:t>
      </w:r>
      <w:r>
        <w:rPr>
          <w:rFonts w:hint="eastAsia" w:ascii="Times New Roman" w:hAnsi="Times New Roman" w:eastAsia="宋体" w:cs="Times New Roman"/>
          <w:sz w:val="24"/>
          <w:szCs w:val="24"/>
          <w:highlight w:val="none"/>
          <w:lang w:val="zh-CN" w:eastAsia="zh-CN"/>
        </w:rPr>
        <w:t>签订合同后必须10日历天前完成汇总，提交评估报告。</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8、本项目不接受联合体。</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1、符合《中华人民共和国政府采购法》第二十二条规定，并提供声明函：</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rPr>
        <w:t>无</w:t>
      </w:r>
      <w:r>
        <w:rPr>
          <w:rFonts w:hint="eastAsia" w:ascii="Times New Roman" w:hAnsi="Times New Roman" w:eastAsia="宋体" w:cs="宋体"/>
          <w:sz w:val="24"/>
          <w:szCs w:val="24"/>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numPr>
          <w:ilvl w:val="0"/>
          <w:numId w:val="0"/>
        </w:numPr>
        <w:snapToGrid w:val="0"/>
        <w:spacing w:line="480" w:lineRule="exact"/>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（1）提供投标供应商企业法人营业执照（副本）及税务登记证（副本）的复印件；或者是三证合一的营业执照（副本）的复印件；</w:t>
      </w:r>
    </w:p>
    <w:p>
      <w:pPr>
        <w:spacing w:line="360" w:lineRule="auto"/>
        <w:ind w:firstLine="480" w:firstLineChars="20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2）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pPr>
        <w:numPr>
          <w:ilvl w:val="0"/>
          <w:numId w:val="0"/>
        </w:numPr>
        <w:snapToGrid w:val="0"/>
        <w:spacing w:line="480" w:lineRule="exact"/>
        <w:ind w:firstLine="480" w:firstLineChars="200"/>
      </w:pPr>
      <w:r>
        <w:rPr>
          <w:rFonts w:hint="eastAsia" w:ascii="Times New Roman" w:hAnsi="Times New Roman" w:eastAsia="宋体"/>
          <w:color w:val="000000"/>
          <w:sz w:val="24"/>
          <w:szCs w:val="24"/>
        </w:rPr>
        <w:t>（</w:t>
      </w:r>
      <w:r>
        <w:rPr>
          <w:rFonts w:hint="eastAsia" w:ascii="Times New Roman" w:hAnsi="Times New Roman" w:eastAsia="宋体"/>
          <w:color w:val="000000"/>
          <w:sz w:val="24"/>
          <w:szCs w:val="24"/>
          <w:lang w:val="en-US" w:eastAsia="zh-CN"/>
        </w:rPr>
        <w:t>3</w:t>
      </w:r>
      <w:r>
        <w:rPr>
          <w:rFonts w:hint="eastAsia" w:ascii="Times New Roman" w:hAnsi="Times New Roman" w:eastAsia="宋体"/>
          <w:color w:val="000000"/>
          <w:sz w:val="24"/>
          <w:szCs w:val="24"/>
        </w:rPr>
        <w:t>）</w:t>
      </w:r>
      <w:r>
        <w:rPr>
          <w:rFonts w:hint="eastAsia" w:ascii="宋体" w:hAnsi="宋体"/>
          <w:sz w:val="24"/>
          <w:szCs w:val="24"/>
        </w:rPr>
        <w:t>投标供应商营业执照具有消防安全服务类似经营范围。符合国家规定的消防技术服务机构的从业条件，供应商在社会消防技术服务信息系统（http://www.shhxf119.com）中向社会公示的基本信息，提供网页截图并加盖单位公章。</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4、未被“信用中国”网站（www.creditchina.gov.cn）列入失信被执行人、重大税收违法案件当事人名单、政府采购严重失信行为记录名单；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5、拒绝下述供应商参加本次采购活动：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（1）供应商单位负责人为同一人或者存在直接控股、管理关系的不同供应商，不得参加同一合同项下的政府采购活动。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（2）凡为采购项目提供整体设计、规范编制或者项目管理、监理、检测等服务的供应商，不得再参加本项目的采购活动。</w:t>
      </w:r>
    </w:p>
    <w:p>
      <w:pPr>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spacing w:line="360" w:lineRule="auto"/>
        <w:ind w:firstLine="482" w:firstLineChars="200"/>
        <w:textAlignment w:val="baseline"/>
        <w:rPr>
          <w:rFonts w:ascii="Times New Roman" w:hAnsi="Times New Roman" w:eastAsia="宋体" w:cs="宋体"/>
          <w:b/>
          <w:kern w:val="0"/>
          <w:sz w:val="24"/>
          <w:szCs w:val="24"/>
          <w:highlight w:val="none"/>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w:t>
      </w:r>
      <w:r>
        <w:rPr>
          <w:rFonts w:hint="eastAsia" w:ascii="Times New Roman" w:hAnsi="Times New Roman" w:eastAsia="宋体" w:cs="宋体"/>
          <w:b/>
          <w:kern w:val="0"/>
          <w:sz w:val="24"/>
          <w:szCs w:val="24"/>
          <w:highlight w:val="none"/>
        </w:rPr>
        <w:t>报名</w:t>
      </w:r>
    </w:p>
    <w:p>
      <w:pPr>
        <w:spacing w:line="360" w:lineRule="auto"/>
        <w:ind w:firstLine="480" w:firstLineChars="200"/>
        <w:rPr>
          <w:rFonts w:ascii="Times New Roman" w:hAnsi="Times New Roman" w:eastAsia="宋体" w:cs="宋体"/>
          <w:sz w:val="24"/>
          <w:szCs w:val="24"/>
          <w:highlight w:val="none"/>
        </w:rPr>
      </w:pPr>
      <w:bookmarkStart w:id="2" w:name="_Toc28359005"/>
      <w:bookmarkStart w:id="3" w:name="_Toc28359082"/>
      <w:bookmarkStart w:id="4" w:name="_Toc35393624"/>
      <w:bookmarkStart w:id="5" w:name="_Toc35393793"/>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自本磋商公告发布之日起至2023</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09</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25</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18</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3、售价：300元/份，随磋商响应文件递交，售后不退。</w:t>
      </w:r>
    </w:p>
    <w:p>
      <w:pPr>
        <w:spacing w:line="360" w:lineRule="auto"/>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4、报名方式：请有意参与本项目</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的供应商于2023年</w:t>
      </w:r>
      <w:r>
        <w:rPr>
          <w:rFonts w:hint="eastAsia" w:ascii="Times New Roman" w:hAnsi="Times New Roman" w:eastAsia="宋体" w:cs="宋体"/>
          <w:b/>
          <w:sz w:val="24"/>
          <w:szCs w:val="24"/>
          <w:highlight w:val="none"/>
          <w:lang w:val="en-US" w:eastAsia="zh-CN"/>
        </w:rPr>
        <w:t>09</w:t>
      </w:r>
      <w:r>
        <w:rPr>
          <w:rFonts w:hint="eastAsia" w:ascii="Times New Roman" w:hAnsi="Times New Roman" w:eastAsia="宋体" w:cs="宋体"/>
          <w:b/>
          <w:sz w:val="24"/>
          <w:szCs w:val="24"/>
          <w:highlight w:val="none"/>
        </w:rPr>
        <w:t>月</w:t>
      </w:r>
      <w:r>
        <w:rPr>
          <w:rFonts w:hint="eastAsia" w:ascii="Times New Roman" w:hAnsi="Times New Roman" w:eastAsia="宋体" w:cs="宋体"/>
          <w:b/>
          <w:sz w:val="24"/>
          <w:szCs w:val="24"/>
          <w:highlight w:val="none"/>
          <w:lang w:val="en-US" w:eastAsia="zh-CN"/>
        </w:rPr>
        <w:t>25</w:t>
      </w:r>
      <w:r>
        <w:rPr>
          <w:rFonts w:hint="eastAsia" w:ascii="Times New Roman" w:hAnsi="Times New Roman" w:eastAsia="宋体" w:cs="宋体"/>
          <w:b/>
          <w:sz w:val="24"/>
          <w:szCs w:val="24"/>
          <w:highlight w:val="none"/>
        </w:rPr>
        <w:t>日18时00分前至代理机构处报名，未报名单位不得参加本项目的</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w:t>
      </w:r>
    </w:p>
    <w:bookmarkEnd w:id="2"/>
    <w:bookmarkEnd w:id="3"/>
    <w:bookmarkEnd w:id="4"/>
    <w:bookmarkEnd w:id="5"/>
    <w:p>
      <w:pPr>
        <w:spacing w:line="360" w:lineRule="auto"/>
        <w:ind w:firstLine="482" w:firstLineChars="200"/>
        <w:textAlignment w:val="baseline"/>
        <w:rPr>
          <w:rFonts w:ascii="Times New Roman" w:hAnsi="Times New Roman" w:eastAsia="宋体" w:cs="宋体"/>
          <w:b/>
          <w:kern w:val="0"/>
          <w:sz w:val="24"/>
          <w:szCs w:val="24"/>
          <w:highlight w:val="none"/>
        </w:rPr>
      </w:pPr>
      <w:bookmarkStart w:id="6" w:name="_Toc28359007"/>
      <w:bookmarkStart w:id="7" w:name="_Toc28359084"/>
      <w:bookmarkStart w:id="8" w:name="_Toc35393794"/>
      <w:bookmarkStart w:id="9" w:name="_Toc35393625"/>
      <w:r>
        <w:rPr>
          <w:rFonts w:hint="eastAsia" w:ascii="Times New Roman" w:hAnsi="Times New Roman" w:eastAsia="宋体" w:cs="宋体"/>
          <w:b/>
          <w:kern w:val="0"/>
          <w:sz w:val="24"/>
          <w:szCs w:val="24"/>
          <w:highlight w:val="none"/>
        </w:rPr>
        <w:t>四、响应文件提交</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1、提交响应文件截止时间：</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09</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26</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5</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r>
        <w:rPr>
          <w:rFonts w:hint="eastAsia" w:ascii="Times New Roman" w:hAnsi="Times New Roman" w:eastAsia="宋体"/>
          <w:sz w:val="24"/>
          <w:highlight w:val="none"/>
        </w:rPr>
        <w:t>逾时，采购人将拒绝接受响应文件纸质文档。</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2、提交响应文件地点：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，如有变动另行通知。</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五、开启</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09</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26</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5</w:t>
      </w:r>
      <w:bookmarkStart w:id="16" w:name="_GoBack"/>
      <w:bookmarkEnd w:id="16"/>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2、开启文件及开标地点：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kern w:val="0"/>
          <w:sz w:val="24"/>
          <w:szCs w:val="24"/>
          <w:highlight w:val="none"/>
        </w:rPr>
        <w:t>自本公告发布之日起3个工作日。</w:t>
      </w:r>
    </w:p>
    <w:p>
      <w:pPr>
        <w:spacing w:line="360" w:lineRule="auto"/>
        <w:ind w:firstLine="482" w:firstLineChars="200"/>
        <w:textAlignment w:val="baseline"/>
        <w:rPr>
          <w:rFonts w:ascii="Times New Roman" w:hAnsi="Times New Roman" w:eastAsia="宋体" w:cs="宋体"/>
          <w:bCs/>
          <w:sz w:val="24"/>
          <w:szCs w:val="24"/>
          <w:highlight w:val="none"/>
        </w:rPr>
      </w:pPr>
      <w:r>
        <w:rPr>
          <w:rFonts w:hint="eastAsia" w:ascii="Times New Roman" w:hAnsi="Times New Roman" w:eastAsia="宋体" w:cs="宋体"/>
          <w:b/>
          <w:bCs/>
          <w:sz w:val="24"/>
          <w:szCs w:val="24"/>
          <w:highlight w:val="none"/>
        </w:rPr>
        <w:t>七、</w:t>
      </w:r>
      <w:r>
        <w:rPr>
          <w:rFonts w:hint="eastAsia" w:ascii="Times New Roman" w:hAnsi="Times New Roman" w:eastAsia="宋体" w:cs="宋体"/>
          <w:b/>
          <w:sz w:val="24"/>
          <w:szCs w:val="24"/>
          <w:highlight w:val="none"/>
        </w:rPr>
        <w:t>其他补充事宜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highlight w:val="none"/>
        </w:rPr>
        <w:t>1、本项目不收取磋商保证金，采购文件中涉</w:t>
      </w:r>
      <w:r>
        <w:rPr>
          <w:rFonts w:hint="eastAsia" w:ascii="Times New Roman" w:hAnsi="Times New Roman" w:eastAsia="宋体" w:cs="宋体"/>
          <w:bCs/>
          <w:sz w:val="24"/>
          <w:szCs w:val="24"/>
        </w:rPr>
        <w:t>及磋商保证金的事项，均按免收保证金执行。</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2、对项目需求部分（供应商其他资格要求、项目需求、评分标准）的询问、质疑请向采购人提出，由采购人负责答复；对</w:t>
      </w:r>
      <w:r>
        <w:rPr>
          <w:rFonts w:hint="eastAsia" w:ascii="Times New Roman" w:hAnsi="Times New Roman" w:eastAsia="宋体"/>
          <w:sz w:val="24"/>
          <w:szCs w:val="24"/>
        </w:rPr>
        <w:t>项目磋商文件</w:t>
      </w:r>
      <w:r>
        <w:rPr>
          <w:rFonts w:hint="eastAsia" w:ascii="Times New Roman" w:hAnsi="Times New Roman" w:eastAsia="宋体" w:cs="宋体"/>
          <w:sz w:val="24"/>
          <w:szCs w:val="24"/>
        </w:rPr>
        <w:t>其它部分的询问请向采购人或招标代理提出。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hint="eastAsia" w:ascii="Times New Roman" w:hAnsi="Times New Roman" w:eastAsia="宋体" w:cs="宋体"/>
          <w:bCs/>
          <w:sz w:val="24"/>
          <w:lang w:eastAsia="zh-CN"/>
        </w:rPr>
      </w:pPr>
      <w:r>
        <w:rPr>
          <w:rFonts w:hint="eastAsia" w:ascii="Times New Roman" w:hAnsi="Times New Roman" w:eastAsia="宋体" w:cs="宋体"/>
          <w:bCs/>
          <w:sz w:val="24"/>
        </w:rPr>
        <w:t>联系人：钱</w:t>
      </w:r>
      <w:r>
        <w:rPr>
          <w:rFonts w:hint="eastAsia" w:ascii="Times New Roman" w:hAnsi="Times New Roman" w:eastAsia="宋体" w:cs="宋体"/>
          <w:bCs/>
          <w:sz w:val="24"/>
          <w:lang w:eastAsia="zh-CN"/>
        </w:rPr>
        <w:t>先生</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联系电话：0513-85116168</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spacing w:line="360" w:lineRule="auto"/>
        <w:ind w:firstLine="480" w:firstLineChars="200"/>
        <w:textAlignment w:val="baseline"/>
        <w:rPr>
          <w:rFonts w:ascii="Times New Roman" w:hAnsi="Times New Roman" w:eastAsia="宋体" w:cs="宋体"/>
          <w:kern w:val="0"/>
          <w:sz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pStyle w:val="9"/>
        <w:rPr>
          <w:kern w:val="0"/>
        </w:rPr>
      </w:pPr>
      <w:r>
        <w:rPr>
          <w:kern w:val="0"/>
        </w:rPr>
        <w:br w:type="page"/>
      </w:r>
    </w:p>
    <w:p>
      <w:pPr>
        <w:pStyle w:val="3"/>
        <w:keepNext w:val="0"/>
        <w:keepLines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4、澄清或者修改的内容可能影响到响应文件编制的，代理机构应当在提交响应文件接收截止之日3个工作日前，发布澄清或者修改公告，不足3个工作日的，当顺延提交响应文件接收截止时间。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4、本项目报价为固定价格报价，供应商应充分考虑服务实施期间各类市场价格和政策性价格调整因素，确定价格风险计入总报价，今后不作调整。（</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报价应包括完成本项目所需的一切费用，包括但不限于</w:t>
      </w:r>
      <w:r>
        <w:rPr>
          <w:rFonts w:hint="eastAsia" w:ascii="宋体" w:hAnsi="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cs="宋体"/>
          <w:sz w:val="24"/>
          <w:szCs w:val="24"/>
        </w:rPr>
        <w:t>。同时，报价也应包含合同履行过程中可能发生的一切风险。）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1、磋商文件每套售价300元（现金），在递交磋商响应文件的同时提交给招标代理机构。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向成交供应商收取代理服务费，按国家计委颁发的[2002]1980号文《招标代理服务收费管理暂行办法》及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lang w:val="zh-CN"/>
        </w:rPr>
        <w:t>请供应商在网上报名前和制作</w:t>
      </w:r>
      <w:r>
        <w:rPr>
          <w:rFonts w:hint="eastAsia" w:ascii="Times New Roman" w:hAnsi="Times New Roman" w:eastAsia="宋体" w:cs="Times New Roman"/>
          <w:b/>
          <w:kern w:val="0"/>
          <w:sz w:val="24"/>
          <w:szCs w:val="24"/>
          <w:lang w:val="zh-CN"/>
        </w:rPr>
        <w:t>响应</w:t>
      </w:r>
      <w:r>
        <w:rPr>
          <w:rFonts w:ascii="Times New Roman" w:hAnsi="Times New Roman" w:eastAsia="宋体" w:cs="Times New Roman"/>
          <w:b/>
          <w:kern w:val="0"/>
          <w:sz w:val="24"/>
          <w:szCs w:val="24"/>
          <w:lang w:val="zh-CN"/>
        </w:rPr>
        <w:t>文件时仔细研究项目需求说明。</w:t>
      </w:r>
      <w:r>
        <w:rPr>
          <w:rFonts w:ascii="Times New Roman" w:hAnsi="Times New Roman" w:eastAsia="宋体" w:cs="Times New Roman"/>
          <w:kern w:val="0"/>
          <w:sz w:val="24"/>
          <w:szCs w:val="24"/>
          <w:lang w:val="zh-CN"/>
        </w:rPr>
        <w:t>供应商不能简单照搬照抄采购人项目需求说明中的技术、商务要求，必须作实事求是的响应。如照搬照抄项目需求说明中的技术、商务要求的，</w:t>
      </w:r>
      <w:r>
        <w:rPr>
          <w:rFonts w:hint="eastAsia" w:ascii="Times New Roman" w:hAnsi="Times New Roman" w:eastAsia="宋体" w:cs="Times New Roman"/>
          <w:kern w:val="0"/>
          <w:sz w:val="24"/>
          <w:szCs w:val="24"/>
          <w:lang w:val="zh-CN"/>
        </w:rPr>
        <w:t>成交</w:t>
      </w:r>
      <w:r>
        <w:rPr>
          <w:rFonts w:ascii="Times New Roman" w:hAnsi="Times New Roman" w:eastAsia="宋体" w:cs="Times New Roman"/>
          <w:kern w:val="0"/>
          <w:sz w:val="24"/>
          <w:szCs w:val="24"/>
          <w:lang w:val="zh-CN"/>
        </w:rPr>
        <w:t>后供应商在同采购人签订合同和履约环节中不得提出异议，一切后果和损失由</w:t>
      </w:r>
      <w:r>
        <w:rPr>
          <w:rFonts w:hint="eastAsia" w:ascii="Times New Roman" w:hAnsi="Times New Roman" w:eastAsia="宋体" w:cs="Times New Roman"/>
          <w:kern w:val="0"/>
          <w:sz w:val="24"/>
          <w:szCs w:val="24"/>
          <w:lang w:val="zh-CN"/>
        </w:rPr>
        <w:t>成交</w:t>
      </w:r>
      <w:r>
        <w:rPr>
          <w:rFonts w:ascii="Times New Roman" w:hAnsi="Times New Roman" w:eastAsia="宋体" w:cs="Times New Roman"/>
          <w:kern w:val="0"/>
          <w:sz w:val="24"/>
          <w:szCs w:val="24"/>
          <w:lang w:val="zh-CN"/>
        </w:rPr>
        <w:t>供应商承担。如供应商提供的货物和服务同采购人提出的项目需求说明中的技术、商务要求不同的，必须在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《技术商务条款响应正负偏离表》</w:t>
      </w:r>
      <w:r>
        <w:rPr>
          <w:rFonts w:ascii="Times New Roman" w:hAnsi="Times New Roman" w:eastAsia="宋体" w:cs="Times New Roman"/>
          <w:kern w:val="0"/>
          <w:sz w:val="24"/>
          <w:szCs w:val="24"/>
        </w:rPr>
        <w:t>上明示，如不明示的视同完全响应</w:t>
      </w:r>
      <w:r>
        <w:rPr>
          <w:rFonts w:ascii="Times New Roman" w:hAnsi="Times New Roman" w:eastAsia="宋体" w:cs="Times New Roman"/>
          <w:kern w:val="0"/>
          <w:sz w:val="24"/>
          <w:szCs w:val="24"/>
          <w:lang w:val="zh-CN"/>
        </w:rPr>
        <w:t>。</w:t>
      </w:r>
    </w:p>
    <w:p>
      <w:pPr>
        <w:snapToGrid w:val="0"/>
        <w:spacing w:line="480" w:lineRule="exact"/>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一、项目概况</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根据《中华人民共和国消防法》和江苏：《单位消防安全评估导则》（T/JFPA0003-2020），《医疗机构消防安全检查要点》等法律、法规和《建筑消防设施检测技术规程》（G 503-2004）、《建筑消防设施技术检验规程》（DB32/186），对南通市第三人民医院建筑群进行消防安全评估。</w:t>
      </w:r>
    </w:p>
    <w:p>
      <w:pPr>
        <w:snapToGrid w:val="0"/>
        <w:spacing w:line="480" w:lineRule="exact"/>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二、评估服务时间</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签订合同后必须10日历天前完成汇总，提交评估报告。</w:t>
      </w:r>
      <w:r>
        <w:rPr>
          <w:rFonts w:hint="eastAsia" w:ascii="Times New Roman" w:hAnsi="Times New Roman" w:eastAsia="宋体" w:cs="宋体"/>
          <w:sz w:val="24"/>
          <w:szCs w:val="24"/>
        </w:rPr>
        <w:tab/>
      </w:r>
    </w:p>
    <w:p>
      <w:pPr>
        <w:snapToGrid w:val="0"/>
        <w:spacing w:line="480" w:lineRule="exact"/>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三、评估建筑场所</w:t>
      </w:r>
    </w:p>
    <w:p>
      <w:pPr>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南通市第三人民医院建筑群</w:t>
      </w:r>
    </w:p>
    <w:p>
      <w:pPr>
        <w:snapToGrid w:val="0"/>
        <w:spacing w:line="480" w:lineRule="exact"/>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四、评估人员的资格要求</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对于本评估项目需成立评估服务组。具体要求如下：</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1、本评估项目总负责人，要有丰富的消防工作从业经历，并附专业能力简介，对本项目具备评估的组织协调能力。</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2、本评估项目技术负责人，须有国家一级注册消防工程师资格。</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3、本评估项目组人员，必须满足4名以上国家消防职业技能等级证书要求。</w:t>
      </w:r>
    </w:p>
    <w:p>
      <w:pPr>
        <w:snapToGrid w:val="0"/>
        <w:spacing w:line="480" w:lineRule="exact"/>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五、委托服务内容</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根据医院建筑消防设施和消防安全管理的要求，重点针对消防设施、设备、器材配备情况进行现场核查，检测，对消防安全重点部位进行现场评估，对消防安全基础管理进行检查分析，通过综合评估，发现并指出消防安全存在的硬件和管理问题，并提出解决对策、措施和建议。</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具体内容如下：</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1、消防检测的范围和内容</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1.1、消防供配电设施</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1.2、火灾自动报警系统及其联动功能；</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1.3、消火栓给水系统；</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1.4、消防冷却水系统</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1.5、水幕系统；</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1.6、气体灭火系统；</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1.7、防火卷帘；</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1.8、自动喷水灭火系统；</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1.9、水喷雾系统；</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1.10、泡沫灭火系统；</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1.11、机械排烟系统；</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1.12、正压送风系统；</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1.13、可燃气体自动报警系统；</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1.14、灭火器；</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1.15、应急照明及疏散指示系统</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1.16、其它需检测的内容。</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检验测试各系统设施是否完好，功能是否正常。</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2、消防安全责任制落实方面。</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消防档案管理、岗位职责落实等</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3、建筑消防设施设备方面落实消防管理方面</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3.1、防火、防烟分区和防火分隔；</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3.2、安全疏散；</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3.3、装饰装修情况；</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4、消防教育培训方面</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5、扑救初起火灾能力方面</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6、重大火灾隐患情况</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注：需采购方提供各种工程设计图纸、竣工资料、消防验收合格意见书等等</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服务机构完成现场评估检查工作后，要制作《南通市第三人民医院消防安全评估报告》。由参与现场评估的相关人员签名，并加盖单位印章后提交。报告主要内容包括：评估情况报告、处理建议等内容。</w:t>
      </w:r>
    </w:p>
    <w:p>
      <w:pPr>
        <w:snapToGrid w:val="0"/>
        <w:spacing w:line="480" w:lineRule="exact"/>
        <w:ind w:firstLine="424" w:firstLineChars="176"/>
        <w:outlineLvl w:val="1"/>
        <w:rPr>
          <w:rFonts w:hint="eastAsia" w:ascii="宋体" w:hAnsi="宋体" w:eastAsia="宋体" w:cs="宋体"/>
          <w:b/>
          <w:sz w:val="24"/>
          <w:szCs w:val="24"/>
        </w:rPr>
      </w:pPr>
      <w:r>
        <w:rPr>
          <w:rFonts w:hint="eastAsia" w:ascii="宋体" w:hAnsi="宋体" w:eastAsia="宋体" w:cs="宋体"/>
          <w:b/>
          <w:sz w:val="24"/>
          <w:szCs w:val="24"/>
        </w:rPr>
        <w:t xml:space="preserve"> 六、其他要求</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服务机构应充分发挥在人才、技术、信息等方面的优势，根据服务类型和内容，配备相应的专业技术人员，确保安全技术服务工作质量。</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1、消防安全评估报告出现任何问题，</w:t>
      </w:r>
      <w:r>
        <w:rPr>
          <w:rFonts w:hint="eastAsia" w:ascii="Times New Roman" w:hAnsi="Times New Roman" w:eastAsia="宋体" w:cs="宋体"/>
          <w:sz w:val="24"/>
          <w:szCs w:val="24"/>
          <w:lang w:val="zh-CN"/>
        </w:rPr>
        <w:t>后果和损失由成交供应商承担。</w:t>
      </w:r>
    </w:p>
    <w:p>
      <w:pPr>
        <w:spacing w:line="360" w:lineRule="auto"/>
        <w:ind w:firstLine="480" w:firstLineChars="200"/>
        <w:textAlignment w:val="baseline"/>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2、采购人对服务机构及其服务人员有权进行监督</w:t>
      </w:r>
      <w:r>
        <w:rPr>
          <w:rFonts w:hint="eastAsia" w:ascii="Times New Roman" w:hAnsi="Times New Roman" w:eastAsia="宋体" w:cs="宋体"/>
          <w:sz w:val="24"/>
          <w:szCs w:val="24"/>
          <w:lang w:eastAsia="zh-CN"/>
        </w:rPr>
        <w:t>。</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3、出现严重不履行合同或不适当履行合同的，采购人有权单方面解除合同。</w:t>
      </w:r>
    </w:p>
    <w:p>
      <w:pPr>
        <w:snapToGrid w:val="0"/>
        <w:spacing w:line="480" w:lineRule="exact"/>
        <w:ind w:firstLine="424" w:firstLineChars="176"/>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七、付款方式：</w:t>
      </w:r>
    </w:p>
    <w:p>
      <w:pPr>
        <w:snapToGrid w:val="0"/>
        <w:spacing w:line="480" w:lineRule="exact"/>
        <w:ind w:firstLine="422" w:firstLineChars="176"/>
        <w:outlineLvl w:val="1"/>
        <w:rPr>
          <w:rFonts w:ascii="Times New Roman" w:hAnsi="Times New Roman" w:eastAsia="宋体" w:cs="宋体"/>
          <w:bCs/>
          <w:sz w:val="24"/>
          <w:szCs w:val="24"/>
        </w:rPr>
      </w:pPr>
      <w:r>
        <w:rPr>
          <w:rFonts w:hint="eastAsia" w:ascii="Times New Roman" w:hAnsi="Times New Roman" w:eastAsia="宋体" w:cs="宋体"/>
          <w:b w:val="0"/>
          <w:bCs w:val="0"/>
          <w:kern w:val="2"/>
          <w:sz w:val="24"/>
          <w:szCs w:val="24"/>
          <w:lang w:val="en-US" w:eastAsia="zh-CN" w:bidi="ar-SA"/>
        </w:rPr>
        <w:t>消防评估报告交付合格后，2个月以内一次性付清全部费用。</w:t>
      </w:r>
      <w:r>
        <w:rPr>
          <w:rFonts w:hint="eastAsia" w:ascii="宋体" w:hAnsi="宋体" w:cs="宋体"/>
          <w:sz w:val="2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0" w:name="_Toc38121794"/>
      <w:bookmarkStart w:id="11" w:name="_Toc37322565"/>
      <w:bookmarkStart w:id="12" w:name="_Toc43217893"/>
      <w:bookmarkStart w:id="13" w:name="_Toc182848996"/>
      <w:bookmarkStart w:id="14" w:name="_Toc85627670"/>
      <w:r>
        <w:rPr>
          <w:rFonts w:hint="eastAsia" w:ascii="Times New Roman" w:hAnsi="Times New Roman" w:eastAsia="宋体" w:cs="宋体"/>
          <w:w w:val="80"/>
          <w:sz w:val="48"/>
          <w:szCs w:val="44"/>
        </w:rPr>
        <w:t xml:space="preserve"> 评审方法和程序</w:t>
      </w:r>
      <w:bookmarkEnd w:id="10"/>
      <w:bookmarkEnd w:id="11"/>
      <w:bookmarkEnd w:id="12"/>
      <w:bookmarkEnd w:id="13"/>
      <w:bookmarkEnd w:id="14"/>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5" w:name="_Toc363573857"/>
      <w:bookmarkEnd w:id="15"/>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1、本次竞争性磋商依据《中华人民共和国政府采购法》、《政府采购竞争性磋商采购人式管理暂行办法》及有关法规成立磋商小组。磋商小组由3人以上单数组成。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1、磋商小组依据《中华人民共和国政府采购法》、《政府采购竞争性磋商采购人式管理暂行办法》以及有关政府采购的相关法规，遵循“公开、公平、公正、择优、信用”的原则进行磋商评审。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lang w:val="en-US" w:eastAsia="zh-CN"/>
        </w:rPr>
        <w:t>80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lang w:val="en-US" w:eastAsia="zh-CN"/>
        </w:rPr>
        <w:t>20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adjustRightInd w:val="0"/>
        <w:snapToGrid w:val="0"/>
        <w:spacing w:line="500" w:lineRule="exact"/>
        <w:jc w:val="left"/>
        <w:rPr>
          <w:rFonts w:ascii="宋体" w:hAnsi="宋体" w:cs="宋体"/>
          <w:b/>
          <w:sz w:val="24"/>
          <w:szCs w:val="24"/>
        </w:rPr>
      </w:pPr>
      <w:r>
        <w:rPr>
          <w:rFonts w:hint="eastAsia" w:ascii="Times New Roman" w:hAnsi="Times New Roman" w:cs="宋体"/>
          <w:b/>
          <w:bCs/>
          <w:szCs w:val="24"/>
          <w:shd w:val="clear" w:color="auto" w:fill="FFFFFF"/>
        </w:rPr>
        <w:t>（一）</w:t>
      </w:r>
      <w:r>
        <w:rPr>
          <w:rFonts w:hint="eastAsia" w:ascii="宋体" w:hAnsi="宋体" w:cs="宋体"/>
          <w:b/>
          <w:sz w:val="24"/>
          <w:szCs w:val="24"/>
        </w:rPr>
        <w:t>商务技术分：</w:t>
      </w:r>
      <w:r>
        <w:rPr>
          <w:rFonts w:hint="eastAsia" w:ascii="宋体" w:hAnsi="宋体" w:cs="宋体"/>
          <w:b/>
          <w:sz w:val="24"/>
          <w:szCs w:val="24"/>
          <w:lang w:val="en-US" w:eastAsia="zh-CN"/>
        </w:rPr>
        <w:t>80</w:t>
      </w:r>
      <w:r>
        <w:rPr>
          <w:rFonts w:hint="eastAsia" w:ascii="宋体" w:hAnsi="宋体" w:cs="宋体"/>
          <w:b/>
          <w:sz w:val="24"/>
          <w:szCs w:val="24"/>
        </w:rPr>
        <w:t>分</w:t>
      </w:r>
    </w:p>
    <w:tbl>
      <w:tblPr>
        <w:tblStyle w:val="21"/>
        <w:tblpPr w:leftFromText="180" w:rightFromText="180" w:vertAnchor="text" w:horzAnchor="page" w:tblpX="1507" w:tblpY="499"/>
        <w:tblOverlap w:val="never"/>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654"/>
        <w:gridCol w:w="916"/>
        <w:gridCol w:w="5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6" w:type="dxa"/>
            <w:noWrap/>
            <w:vAlign w:val="center"/>
          </w:tcPr>
          <w:p>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654" w:type="dxa"/>
            <w:noWrap/>
            <w:vAlign w:val="center"/>
          </w:tcPr>
          <w:p>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评分点名称</w:t>
            </w:r>
          </w:p>
        </w:tc>
        <w:tc>
          <w:tcPr>
            <w:tcW w:w="916" w:type="dxa"/>
            <w:noWrap/>
            <w:vAlign w:val="center"/>
          </w:tcPr>
          <w:p>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5609" w:type="dxa"/>
            <w:noWrap/>
            <w:vAlign w:val="center"/>
          </w:tcPr>
          <w:p>
            <w:pPr>
              <w:spacing w:line="500" w:lineRule="exact"/>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16" w:type="dxa"/>
            <w:noWrap/>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54" w:type="dxa"/>
            <w:noWrap/>
            <w:vAlign w:val="center"/>
          </w:tcPr>
          <w:p>
            <w:pPr>
              <w:widowControl/>
              <w:adjustRightInd w:val="0"/>
              <w:snapToGrid w:val="0"/>
              <w:spacing w:line="500" w:lineRule="exact"/>
              <w:jc w:val="center"/>
              <w:rPr>
                <w:rFonts w:hint="eastAsia" w:ascii="宋体" w:hAnsi="宋体" w:eastAsia="宋体" w:cs="宋体"/>
                <w:sz w:val="24"/>
                <w:szCs w:val="24"/>
              </w:rPr>
            </w:pPr>
            <w:r>
              <w:rPr>
                <w:rFonts w:hint="eastAsia" w:ascii="宋体" w:hAnsi="宋体" w:eastAsia="宋体" w:cs="宋体"/>
                <w:bCs/>
                <w:color w:val="000000"/>
                <w:kern w:val="0"/>
                <w:sz w:val="24"/>
                <w:szCs w:val="24"/>
              </w:rPr>
              <w:t>综合实力</w:t>
            </w:r>
          </w:p>
        </w:tc>
        <w:tc>
          <w:tcPr>
            <w:tcW w:w="916" w:type="dxa"/>
            <w:noWrap/>
            <w:vAlign w:val="center"/>
          </w:tcPr>
          <w:p>
            <w:pPr>
              <w:widowControl/>
              <w:adjustRightInd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18</w:t>
            </w:r>
          </w:p>
        </w:tc>
        <w:tc>
          <w:tcPr>
            <w:tcW w:w="5609" w:type="dxa"/>
            <w:noWrap/>
            <w:vAlign w:val="center"/>
          </w:tcPr>
          <w:p>
            <w:pPr>
              <w:widowControl/>
              <w:spacing w:line="440" w:lineRule="exact"/>
              <w:jc w:val="left"/>
              <w:rPr>
                <w:rFonts w:hint="eastAsia" w:ascii="宋体" w:hAnsi="宋体" w:eastAsia="宋体" w:cs="宋体"/>
                <w:sz w:val="24"/>
                <w:szCs w:val="24"/>
              </w:rPr>
            </w:pPr>
            <w:r>
              <w:rPr>
                <w:rFonts w:hint="eastAsia" w:ascii="宋体" w:hAnsi="宋体" w:eastAsia="宋体" w:cs="宋体"/>
                <w:bCs/>
                <w:color w:val="000000"/>
                <w:kern w:val="0"/>
                <w:sz w:val="24"/>
                <w:szCs w:val="24"/>
              </w:rPr>
              <w:t>1、</w:t>
            </w:r>
            <w:r>
              <w:rPr>
                <w:rFonts w:hint="eastAsia" w:ascii="宋体" w:hAnsi="宋体" w:eastAsia="宋体" w:cs="宋体"/>
                <w:sz w:val="24"/>
                <w:szCs w:val="24"/>
              </w:rPr>
              <w:t>投标单位具有消防施工资质，同时具有消防维保检测/消防安全评估执业许可，得2分；</w:t>
            </w:r>
          </w:p>
          <w:p>
            <w:pPr>
              <w:widowControl/>
              <w:spacing w:line="440" w:lineRule="exact"/>
              <w:jc w:val="left"/>
              <w:rPr>
                <w:rFonts w:hint="eastAsia" w:ascii="宋体" w:hAnsi="宋体" w:eastAsia="宋体" w:cs="宋体"/>
                <w:bCs/>
                <w:kern w:val="0"/>
                <w:sz w:val="24"/>
                <w:szCs w:val="24"/>
              </w:rPr>
            </w:pPr>
            <w:r>
              <w:rPr>
                <w:rFonts w:hint="eastAsia" w:ascii="宋体" w:hAnsi="宋体" w:eastAsia="宋体" w:cs="宋体"/>
                <w:bCs/>
                <w:kern w:val="0"/>
                <w:sz w:val="24"/>
                <w:szCs w:val="24"/>
              </w:rPr>
              <w:t>2、</w:t>
            </w:r>
            <w:r>
              <w:rPr>
                <w:rFonts w:hint="eastAsia" w:ascii="宋体" w:hAnsi="宋体" w:eastAsia="宋体" w:cs="宋体"/>
                <w:sz w:val="24"/>
                <w:szCs w:val="24"/>
              </w:rPr>
              <w:t>投标单位2020年以来获得过省、市政府</w:t>
            </w:r>
            <w:r>
              <w:rPr>
                <w:rFonts w:hint="eastAsia" w:ascii="宋体" w:hAnsi="宋体" w:eastAsia="宋体" w:cs="宋体"/>
                <w:b/>
                <w:sz w:val="24"/>
                <w:szCs w:val="24"/>
              </w:rPr>
              <w:t>部门</w:t>
            </w:r>
            <w:r>
              <w:rPr>
                <w:rFonts w:hint="eastAsia" w:ascii="宋体" w:hAnsi="宋体" w:eastAsia="宋体" w:cs="宋体"/>
                <w:sz w:val="24"/>
                <w:szCs w:val="24"/>
              </w:rPr>
              <w:t>荣誉的，分别得3分、2分，最高得8分；</w:t>
            </w:r>
          </w:p>
          <w:p>
            <w:pPr>
              <w:widowControl/>
              <w:spacing w:line="440" w:lineRule="exact"/>
              <w:jc w:val="left"/>
              <w:rPr>
                <w:rFonts w:hint="eastAsia" w:ascii="宋体" w:hAnsi="宋体" w:eastAsia="宋体" w:cs="宋体"/>
                <w:sz w:val="24"/>
                <w:szCs w:val="24"/>
              </w:rPr>
            </w:pPr>
            <w:r>
              <w:rPr>
                <w:rFonts w:hint="eastAsia" w:ascii="宋体" w:hAnsi="宋体" w:eastAsia="宋体" w:cs="宋体"/>
                <w:sz w:val="24"/>
                <w:szCs w:val="24"/>
              </w:rPr>
              <w:t>3、投标单位具有质量管理体系认证证书，得2分；职业健康安全管理体系认证证书，得2分；环境管理体系体系符合标准认证证书，得2分； AAA立信示范单位的得2分，最高得8分；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16" w:type="dxa"/>
            <w:noWrap/>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654" w:type="dxa"/>
            <w:noWrap/>
            <w:vAlign w:val="center"/>
          </w:tcPr>
          <w:p>
            <w:pPr>
              <w:adjustRightInd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相关业绩</w:t>
            </w:r>
          </w:p>
        </w:tc>
        <w:tc>
          <w:tcPr>
            <w:tcW w:w="916" w:type="dxa"/>
            <w:noWrap/>
            <w:vAlign w:val="center"/>
          </w:tcPr>
          <w:p>
            <w:pPr>
              <w:widowControl/>
              <w:adjustRightInd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20</w:t>
            </w:r>
          </w:p>
        </w:tc>
        <w:tc>
          <w:tcPr>
            <w:tcW w:w="5609" w:type="dxa"/>
            <w:noWrap/>
            <w:vAlign w:val="center"/>
          </w:tcPr>
          <w:p>
            <w:pPr>
              <w:widowControl/>
              <w:spacing w:line="440" w:lineRule="exact"/>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提供自2020年1月1日以来相关合作成功案例：</w:t>
            </w:r>
          </w:p>
          <w:p>
            <w:pPr>
              <w:widowControl/>
              <w:spacing w:line="440" w:lineRule="exact"/>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1、提供区域消防安全评估</w:t>
            </w:r>
            <w:r>
              <w:rPr>
                <w:rFonts w:hint="eastAsia" w:ascii="宋体" w:hAnsi="宋体" w:eastAsia="宋体" w:cs="宋体"/>
                <w:bCs/>
                <w:kern w:val="0"/>
                <w:sz w:val="24"/>
                <w:szCs w:val="24"/>
              </w:rPr>
              <w:t>案例的每项</w:t>
            </w:r>
            <w:r>
              <w:rPr>
                <w:rFonts w:hint="eastAsia" w:ascii="宋体" w:hAnsi="宋体" w:eastAsia="宋体" w:cs="宋体"/>
                <w:bCs/>
                <w:color w:val="000000"/>
                <w:kern w:val="0"/>
                <w:sz w:val="24"/>
                <w:szCs w:val="24"/>
              </w:rPr>
              <w:t>得6分；</w:t>
            </w:r>
          </w:p>
          <w:p>
            <w:pPr>
              <w:widowControl/>
              <w:spacing w:line="440" w:lineRule="exact"/>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2、提供医疗机构单位消防安全评估案例的每项得2分,最高得6分;</w:t>
            </w:r>
          </w:p>
          <w:p>
            <w:pPr>
              <w:widowControl/>
              <w:spacing w:line="440" w:lineRule="exact"/>
              <w:jc w:val="left"/>
              <w:rPr>
                <w:rFonts w:hint="eastAsia" w:ascii="宋体" w:hAnsi="宋体" w:eastAsia="宋体" w:cs="宋体"/>
                <w:sz w:val="24"/>
                <w:szCs w:val="24"/>
              </w:rPr>
            </w:pPr>
            <w:r>
              <w:rPr>
                <w:rFonts w:hint="eastAsia" w:ascii="宋体" w:hAnsi="宋体" w:eastAsia="宋体" w:cs="宋体"/>
                <w:bCs/>
                <w:color w:val="000000"/>
                <w:kern w:val="0"/>
                <w:sz w:val="24"/>
                <w:szCs w:val="24"/>
              </w:rPr>
              <w:t>3、提供消防安全隐患排查案例的每项得1分，</w:t>
            </w:r>
            <w:r>
              <w:rPr>
                <w:rFonts w:hint="eastAsia" w:ascii="宋体" w:hAnsi="宋体" w:eastAsia="宋体" w:cs="宋体"/>
                <w:sz w:val="24"/>
                <w:szCs w:val="24"/>
              </w:rPr>
              <w:t xml:space="preserve">最高得2分； </w:t>
            </w:r>
          </w:p>
          <w:p>
            <w:pPr>
              <w:widowControl/>
              <w:spacing w:line="440" w:lineRule="exact"/>
              <w:jc w:val="left"/>
              <w:rPr>
                <w:rFonts w:hint="eastAsia" w:ascii="宋体" w:hAnsi="宋体" w:eastAsia="宋体" w:cs="宋体"/>
                <w:sz w:val="24"/>
                <w:szCs w:val="24"/>
              </w:rPr>
            </w:pPr>
            <w:r>
              <w:rPr>
                <w:rFonts w:hint="eastAsia" w:ascii="宋体" w:hAnsi="宋体" w:eastAsia="宋体" w:cs="宋体"/>
                <w:sz w:val="24"/>
                <w:szCs w:val="24"/>
              </w:rPr>
              <w:t>4、提供消防设施维护保养案例的每项得1分，最高得2分；</w:t>
            </w:r>
          </w:p>
          <w:p>
            <w:pPr>
              <w:widowControl/>
              <w:spacing w:line="440" w:lineRule="exact"/>
              <w:jc w:val="left"/>
              <w:rPr>
                <w:rFonts w:hint="eastAsia" w:ascii="宋体" w:hAnsi="宋体" w:eastAsia="宋体" w:cs="宋体"/>
                <w:sz w:val="24"/>
                <w:szCs w:val="24"/>
              </w:rPr>
            </w:pPr>
            <w:r>
              <w:rPr>
                <w:rFonts w:hint="eastAsia" w:ascii="宋体" w:hAnsi="宋体" w:eastAsia="宋体" w:cs="宋体"/>
                <w:sz w:val="24"/>
                <w:szCs w:val="24"/>
              </w:rPr>
              <w:t>5、提供消防施工案列的每项得1分；最高得2分；</w:t>
            </w:r>
          </w:p>
          <w:p>
            <w:pPr>
              <w:widowControl/>
              <w:spacing w:line="440" w:lineRule="exact"/>
              <w:jc w:val="left"/>
              <w:rPr>
                <w:rFonts w:hint="eastAsia" w:ascii="宋体" w:hAnsi="宋体" w:eastAsia="宋体" w:cs="宋体"/>
                <w:sz w:val="24"/>
                <w:szCs w:val="24"/>
              </w:rPr>
            </w:pPr>
            <w:r>
              <w:rPr>
                <w:rFonts w:hint="eastAsia" w:ascii="宋体" w:hAnsi="宋体" w:eastAsia="宋体" w:cs="宋体"/>
                <w:sz w:val="24"/>
                <w:szCs w:val="24"/>
              </w:rPr>
              <w:t>6、提供消防设施检测案例的每项得1分，最高2分。</w:t>
            </w:r>
          </w:p>
          <w:p>
            <w:pPr>
              <w:adjustRightInd w:val="0"/>
              <w:snapToGrid w:val="0"/>
              <w:spacing w:line="500" w:lineRule="exact"/>
              <w:rPr>
                <w:rFonts w:hint="eastAsia" w:ascii="宋体" w:hAnsi="宋体" w:eastAsia="宋体" w:cs="宋体"/>
                <w:sz w:val="24"/>
                <w:szCs w:val="24"/>
              </w:rPr>
            </w:pPr>
            <w:r>
              <w:rPr>
                <w:rFonts w:hint="eastAsia" w:ascii="宋体" w:hAnsi="宋体" w:eastAsia="宋体" w:cs="宋体"/>
                <w:sz w:val="24"/>
                <w:szCs w:val="24"/>
              </w:rPr>
              <w:t>注：以上业绩提供合同复印件且合同内容不得缺项，须包含标的物、合同价以及盖章签字部分所在页，否则不得分，时间以合同签订时间为准。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16" w:type="dxa"/>
            <w:noWrap/>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654" w:type="dxa"/>
            <w:noWrap/>
            <w:vAlign w:val="center"/>
          </w:tcPr>
          <w:p>
            <w:pPr>
              <w:adjustRightInd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实施方案</w:t>
            </w:r>
          </w:p>
        </w:tc>
        <w:tc>
          <w:tcPr>
            <w:tcW w:w="916" w:type="dxa"/>
            <w:noWrap/>
            <w:vAlign w:val="center"/>
          </w:tcPr>
          <w:p>
            <w:pPr>
              <w:widowControl/>
              <w:adjustRightInd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36</w:t>
            </w:r>
          </w:p>
        </w:tc>
        <w:tc>
          <w:tcPr>
            <w:tcW w:w="5609" w:type="dxa"/>
            <w:noWrap/>
            <w:vAlign w:val="center"/>
          </w:tcPr>
          <w:p>
            <w:pPr>
              <w:widowControl/>
              <w:spacing w:line="440" w:lineRule="exact"/>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1、对本项目是否全面、准确、深入理解，综合横向对比进行打分。理解全面、准确、深入的得12分，理解基本全面、准确、深入的得8分，理解一般的得4分，理解差的或者不提供的得0分。本项最高得12分。</w:t>
            </w:r>
          </w:p>
          <w:p>
            <w:pPr>
              <w:widowControl/>
              <w:spacing w:line="440" w:lineRule="exact"/>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根据有关法律法规、规范标准等要求,工作思路和技术方法是否合理、有创新，横向比较进行打分。对重点、难点分析合理、准确，对关键问题的梳理及其解决的思路清晰准确的得12分，对重点、难点分析基本合理、准确，对关键问题的梳理及其解决的思路基本清晰准确的得8分，对重点、难点分析一般，对关键问题的梳理及其解决的思路一般的得4分，对重点、难点分析差、对关键问题的梳理及其解决的思路差的或者不提供的得0分。本项最高得12分。</w:t>
            </w:r>
          </w:p>
          <w:p>
            <w:pPr>
              <w:adjustRightInd w:val="0"/>
              <w:snapToGrid w:val="0"/>
              <w:spacing w:line="500" w:lineRule="exact"/>
              <w:rPr>
                <w:rFonts w:hint="eastAsia" w:ascii="宋体" w:hAnsi="宋体" w:eastAsia="宋体" w:cs="宋体"/>
                <w:sz w:val="24"/>
                <w:szCs w:val="24"/>
              </w:rPr>
            </w:pPr>
            <w:r>
              <w:rPr>
                <w:rFonts w:hint="eastAsia" w:ascii="宋体" w:hAnsi="宋体" w:eastAsia="宋体" w:cs="宋体"/>
                <w:bCs/>
                <w:color w:val="000000"/>
                <w:kern w:val="0"/>
                <w:sz w:val="24"/>
                <w:szCs w:val="24"/>
              </w:rPr>
              <w:t>3、制定科学合理的实施方案，进行综合横向对比进行打分。方案科学合理、具有实际可操控性的得12分，方案基本科学合理、基本具有可操控性的得8分，方案一般、可操控性一般的得4分，方案差、不具有可操控性的或者不提供的得0分。本项最高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16" w:type="dxa"/>
            <w:noWrap/>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654" w:type="dxa"/>
            <w:noWrap/>
            <w:vAlign w:val="center"/>
          </w:tcPr>
          <w:p>
            <w:pPr>
              <w:widowControl/>
              <w:adjustRightInd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服务承诺</w:t>
            </w:r>
          </w:p>
        </w:tc>
        <w:tc>
          <w:tcPr>
            <w:tcW w:w="916" w:type="dxa"/>
            <w:noWrap/>
            <w:vAlign w:val="center"/>
          </w:tcPr>
          <w:p>
            <w:pPr>
              <w:widowControl/>
              <w:adjustRightInd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5609" w:type="dxa"/>
            <w:noWrap/>
            <w:vAlign w:val="center"/>
          </w:tcPr>
          <w:p>
            <w:pPr>
              <w:adjustRightInd w:val="0"/>
              <w:snapToGrid w:val="0"/>
              <w:spacing w:line="500" w:lineRule="exact"/>
              <w:rPr>
                <w:rFonts w:hint="eastAsia" w:ascii="宋体" w:hAnsi="宋体" w:eastAsia="宋体" w:cs="宋体"/>
                <w:sz w:val="24"/>
                <w:szCs w:val="24"/>
              </w:rPr>
            </w:pPr>
            <w:r>
              <w:rPr>
                <w:rFonts w:hint="eastAsia" w:ascii="宋体" w:hAnsi="宋体" w:eastAsia="宋体" w:cs="宋体"/>
                <w:bCs/>
                <w:color w:val="000000"/>
                <w:kern w:val="0"/>
                <w:sz w:val="24"/>
                <w:szCs w:val="24"/>
              </w:rPr>
              <w:t>对本项目作出实质性服务承诺和合理化建议是否得当等进行评审。服务承诺优质、建议合理得6分；服务承诺较好、建议较合理得3分；服务承诺和合理化建议一般得1分，较差或不提供的得0分。本项最高得6分。</w:t>
            </w:r>
          </w:p>
        </w:tc>
      </w:tr>
    </w:tbl>
    <w:p>
      <w:pPr>
        <w:spacing w:line="360" w:lineRule="auto"/>
        <w:textAlignment w:val="baseline"/>
        <w:rPr>
          <w:rFonts w:hint="eastAsia" w:ascii="宋体" w:hAnsi="宋体" w:eastAsia="宋体" w:cs="宋体"/>
          <w:b/>
          <w:bCs/>
          <w:color w:val="auto"/>
          <w:sz w:val="24"/>
          <w:szCs w:val="24"/>
          <w:u w:val="none"/>
          <w:lang w:eastAsia="zh-CN"/>
        </w:rPr>
      </w:pPr>
      <w:r>
        <w:rPr>
          <w:rFonts w:hint="eastAsia" w:ascii="Times New Roman" w:hAnsi="Times New Roman" w:eastAsia="宋体" w:cs="宋体"/>
          <w:b/>
          <w:sz w:val="24"/>
          <w:szCs w:val="24"/>
        </w:rPr>
        <w:t>注：</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b/>
          <w:bCs/>
          <w:color w:val="auto"/>
          <w:sz w:val="24"/>
          <w:szCs w:val="24"/>
          <w:u w:val="none"/>
          <w:lang w:eastAsia="zh-CN"/>
        </w:rPr>
        <w:t>本项目</w:t>
      </w:r>
      <w:r>
        <w:rPr>
          <w:rFonts w:hint="eastAsia" w:ascii="宋体" w:hAnsi="宋体" w:eastAsia="宋体" w:cs="宋体"/>
          <w:b/>
          <w:bCs/>
          <w:color w:val="auto"/>
          <w:sz w:val="24"/>
          <w:szCs w:val="24"/>
          <w:u w:val="none"/>
        </w:rPr>
        <w:t>不接受负偏离</w:t>
      </w:r>
      <w:r>
        <w:rPr>
          <w:rFonts w:hint="eastAsia" w:ascii="宋体" w:hAnsi="宋体" w:eastAsia="宋体" w:cs="宋体"/>
          <w:b/>
          <w:bCs/>
          <w:color w:val="auto"/>
          <w:sz w:val="24"/>
          <w:szCs w:val="24"/>
          <w:u w:val="none"/>
          <w:lang w:eastAsia="zh-CN"/>
        </w:rPr>
        <w:t>。</w:t>
      </w:r>
    </w:p>
    <w:p>
      <w:pPr>
        <w:spacing w:line="500" w:lineRule="exact"/>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评委依据磋商文件载明的方法评分，评分四舍五入精确到小数点后两位。</w:t>
      </w:r>
    </w:p>
    <w:p>
      <w:pPr>
        <w:spacing w:line="500" w:lineRule="exact"/>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响应供应商按照“评分标准表”中的打分要求及顺序提供相关材料，</w:t>
      </w:r>
      <w:r>
        <w:rPr>
          <w:rFonts w:hint="eastAsia" w:ascii="宋体" w:hAnsi="宋体" w:eastAsia="宋体" w:cs="宋体"/>
          <w:bCs/>
          <w:color w:val="000000"/>
          <w:kern w:val="0"/>
          <w:sz w:val="24"/>
          <w:szCs w:val="24"/>
        </w:rPr>
        <w:t>并请编制目录及页码，以最大限度的避免造成评委误判或漏判。</w:t>
      </w:r>
    </w:p>
    <w:p>
      <w:pPr>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bCs/>
          <w:color w:val="000000"/>
          <w:kern w:val="0"/>
          <w:sz w:val="24"/>
          <w:szCs w:val="24"/>
          <w:lang w:val="en-US" w:eastAsia="zh-CN"/>
        </w:rPr>
        <w:t>4</w:t>
      </w:r>
      <w:r>
        <w:rPr>
          <w:rFonts w:hint="eastAsia" w:ascii="宋体" w:hAnsi="宋体" w:eastAsia="宋体" w:cs="宋体"/>
          <w:bCs/>
          <w:color w:val="000000"/>
          <w:kern w:val="0"/>
          <w:sz w:val="24"/>
          <w:szCs w:val="24"/>
          <w:lang w:eastAsia="zh-CN"/>
        </w:rPr>
        <w:t>、</w:t>
      </w:r>
      <w:r>
        <w:rPr>
          <w:rFonts w:hint="eastAsia" w:ascii="宋体" w:hAnsi="宋体" w:eastAsia="宋体" w:cs="宋体"/>
          <w:b/>
          <w:sz w:val="24"/>
          <w:szCs w:val="24"/>
        </w:rPr>
        <w:t>以上证明材料提供原件复印件，复印件不清晰或关键内容无法辨识所引起的后果由响应供应商自行承担。</w:t>
      </w:r>
      <w:r>
        <w:rPr>
          <w:rFonts w:hint="eastAsia" w:ascii="宋体" w:hAnsi="宋体" w:eastAsia="宋体" w:cs="宋体"/>
          <w:bCs/>
          <w:color w:val="000000"/>
          <w:kern w:val="0"/>
          <w:sz w:val="24"/>
          <w:szCs w:val="24"/>
        </w:rPr>
        <w:t>要求进行原件现场核查的，如未能现场提供，则该项评分作0分计算。</w:t>
      </w:r>
    </w:p>
    <w:p>
      <w:pPr>
        <w:adjustRightInd w:val="0"/>
        <w:snapToGrid w:val="0"/>
        <w:spacing w:line="500" w:lineRule="exact"/>
        <w:jc w:val="left"/>
        <w:rPr>
          <w:rFonts w:ascii="宋体" w:hAnsi="宋体" w:cs="宋体"/>
          <w:b/>
          <w:sz w:val="24"/>
          <w:szCs w:val="24"/>
        </w:rPr>
      </w:pPr>
      <w:r>
        <w:rPr>
          <w:rFonts w:hint="eastAsia" w:ascii="宋体" w:hAnsi="宋体" w:cs="宋体"/>
          <w:b/>
          <w:sz w:val="24"/>
          <w:szCs w:val="24"/>
        </w:rPr>
        <w:t>（二）</w:t>
      </w:r>
      <w:r>
        <w:rPr>
          <w:rFonts w:hint="eastAsia" w:ascii="宋体" w:hAnsi="宋体" w:cs="宋体"/>
          <w:b/>
          <w:sz w:val="24"/>
          <w:szCs w:val="24"/>
          <w:lang w:val="zh-CN"/>
        </w:rPr>
        <w:t>价格分</w:t>
      </w:r>
      <w:r>
        <w:rPr>
          <w:rFonts w:hint="eastAsia" w:ascii="宋体" w:hAnsi="宋体" w:cs="宋体"/>
          <w:b/>
          <w:sz w:val="24"/>
          <w:szCs w:val="24"/>
        </w:rPr>
        <w:t>：</w:t>
      </w:r>
      <w:r>
        <w:rPr>
          <w:rFonts w:hint="eastAsia" w:ascii="宋体" w:hAnsi="宋体" w:cs="宋体"/>
          <w:b/>
          <w:sz w:val="24"/>
          <w:szCs w:val="24"/>
          <w:lang w:val="en-US" w:eastAsia="zh-CN"/>
        </w:rPr>
        <w:t>20</w:t>
      </w:r>
      <w:r>
        <w:rPr>
          <w:rFonts w:hint="eastAsia" w:ascii="宋体" w:hAnsi="宋体" w:cs="宋体"/>
          <w:b/>
          <w:sz w:val="24"/>
          <w:szCs w:val="24"/>
        </w:rPr>
        <w:t>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价格分统一采用低价优先法计算，即满足磋商文件要求且最后报价最低的供应商的价格为磋商基准价，其价格分为满分。其他供应商的价格分统一按照下列公式计算：</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磋商报价得分=（磋商基准价/最后磋商报价）×</w:t>
      </w:r>
      <w:r>
        <w:rPr>
          <w:rFonts w:hint="eastAsia" w:ascii="Times New Roman" w:hAnsi="Times New Roman" w:eastAsia="宋体" w:cs="宋体"/>
          <w:sz w:val="24"/>
          <w:szCs w:val="24"/>
          <w:lang w:val="en-US" w:eastAsia="zh-CN"/>
        </w:rPr>
        <w:t>20</w:t>
      </w:r>
      <w:r>
        <w:rPr>
          <w:rFonts w:hint="eastAsia" w:ascii="Times New Roman" w:hAnsi="Times New Roman" w:eastAsia="宋体" w:cs="宋体"/>
          <w:sz w:val="24"/>
          <w:szCs w:val="24"/>
        </w:rPr>
        <w:t>%×100。</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取所有有效</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人的</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总报价参与商务标评审，如评标委员会认为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价格严重偏离市场价，将取消</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人价格分得分。</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11、磋商小组依据法律法规可以认定为无效投标的其他情况；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12、未按要求提供样品的</w:t>
      </w:r>
      <w:r>
        <w:rPr>
          <w:rFonts w:hint="eastAsia" w:ascii="Times New Roman" w:hAnsi="Times New Roman" w:eastAsia="宋体" w:cs="宋体"/>
          <w:color w:val="000000" w:themeColor="text1"/>
          <w:sz w:val="24"/>
          <w:szCs w:val="24"/>
          <w14:textFill>
            <w14:solidFill>
              <w14:schemeClr w14:val="tx1"/>
            </w14:solidFill>
          </w14:textFill>
        </w:rPr>
        <w:t>（如有）</w:t>
      </w:r>
      <w:r>
        <w:rPr>
          <w:rFonts w:hint="eastAsia" w:ascii="Times New Roman" w:hAnsi="Times New Roman" w:eastAsia="宋体" w:cs="宋体"/>
          <w:sz w:val="24"/>
          <w:szCs w:val="24"/>
        </w:rPr>
        <w:t>。</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2、因情况变化，不再符合规定的竞争性磋商采购人式所适用情形的；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w:t>
      </w:r>
      <w:r>
        <w:rPr>
          <w:rFonts w:hint="eastAsia" w:ascii="Times New Roman" w:hAnsi="Times New Roman" w:eastAsia="宋体" w:cs="宋体"/>
          <w:kern w:val="0"/>
          <w:sz w:val="24"/>
          <w:lang w:eastAsia="zh-CN"/>
        </w:rPr>
        <w:t>后</w:t>
      </w:r>
      <w:r>
        <w:rPr>
          <w:rFonts w:hint="eastAsia" w:ascii="Times New Roman" w:hAnsi="Times New Roman" w:eastAsia="宋体" w:cs="宋体"/>
          <w:b/>
          <w:bCs/>
          <w:color w:val="auto"/>
          <w:kern w:val="0"/>
          <w:sz w:val="24"/>
          <w:lang w:val="en-US" w:eastAsia="zh-CN"/>
        </w:rPr>
        <w:t>15</w:t>
      </w:r>
      <w:r>
        <w:rPr>
          <w:rFonts w:hint="eastAsia" w:ascii="Times New Roman" w:hAnsi="Times New Roman" w:eastAsia="宋体" w:cs="宋体"/>
          <w:b/>
          <w:bCs/>
          <w:color w:val="auto"/>
          <w:kern w:val="0"/>
          <w:sz w:val="24"/>
        </w:rPr>
        <w:t>日内</w:t>
      </w:r>
      <w:r>
        <w:rPr>
          <w:rFonts w:hint="eastAsia" w:ascii="Times New Roman" w:hAnsi="Times New Roman" w:eastAsia="宋体" w:cs="宋体"/>
          <w:kern w:val="0"/>
          <w:sz w:val="24"/>
        </w:rPr>
        <w:t>须按照磋商文件确定的事项签订采购合同。合同一式四份，采购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rPr>
        <w:t xml:space="preserve">三份、供应商一份。所签合同不得对磋商文件作实质性修改。采购单位不得向成交供应商提出不合理的要求作为签订合同的条件，不得与成交供应商私下订立背离磋商文件实质性内容的协议。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二、采购单位按合同约定积极配合供应商履约。</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四、供应商出现违约情形，应当及时纠正或补偿；造成损失的，按合同约定追究违约责任；发现有假冒、伪劣、走私产品、商业贿赂等违法情形的，应由采购单位移交工商、质监、公安等行政执法部门依法查处。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14:textFill>
            <w14:solidFill>
              <w14:schemeClr w14:val="tx1"/>
            </w14:solidFill>
          </w14:textFill>
        </w:rPr>
      </w:pPr>
      <w:r>
        <w:rPr>
          <w:rFonts w:hint="eastAsia" w:ascii="Times New Roman" w:hAnsi="Times New Roman" w:eastAsia="宋体" w:cs="宋体"/>
          <w:sz w:val="24"/>
        </w:rPr>
        <w:t>七、以上项目款的支付不计息。</w:t>
      </w:r>
    </w:p>
    <w:p>
      <w:pPr>
        <w:spacing w:line="360" w:lineRule="auto"/>
        <w:rPr>
          <w:rFonts w:ascii="Times New Roman" w:hAnsi="Times New Roman" w:eastAsia="宋体"/>
          <w:w w:val="80"/>
          <w:kern w:val="44"/>
        </w:rPr>
      </w:pP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1、提供投标供应商企业法人营业执照（副本）及税务登记证（副本）的复印件；或者是三证合一的营业执照（副本）的复印件</w:t>
      </w:r>
      <w:r>
        <w:rPr>
          <w:rFonts w:hint="eastAsia" w:ascii="宋体" w:hAnsi="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pPr>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sz w:val="24"/>
          <w:szCs w:val="24"/>
        </w:rPr>
        <w:t>3、提供供应商符合《中华人民共和国政府采购法》第二十二条规定条件的声明函。</w:t>
      </w:r>
    </w:p>
    <w:p>
      <w:pPr>
        <w:spacing w:line="360" w:lineRule="auto"/>
        <w:ind w:firstLine="480" w:firstLineChars="200"/>
        <w:textAlignment w:val="baseline"/>
        <w:rPr>
          <w:rFonts w:hint="default" w:ascii="Times New Roman" w:hAnsi="Times New Roman" w:eastAsia="宋体"/>
          <w:sz w:val="24"/>
          <w:szCs w:val="24"/>
          <w:highlight w:val="none"/>
          <w:lang w:val="en-US" w:eastAsia="zh-CN"/>
        </w:rPr>
      </w:pPr>
      <w:r>
        <w:rPr>
          <w:rFonts w:hint="eastAsia" w:ascii="Times New Roman" w:hAnsi="Times New Roman" w:eastAsia="宋体"/>
          <w:sz w:val="24"/>
          <w:szCs w:val="24"/>
          <w:lang w:val="en-US" w:eastAsia="zh-CN"/>
        </w:rPr>
        <w:t>4、诚</w:t>
      </w:r>
      <w:r>
        <w:rPr>
          <w:rFonts w:hint="eastAsia" w:ascii="Times New Roman" w:hAnsi="Times New Roman" w:eastAsia="宋体"/>
          <w:sz w:val="24"/>
          <w:szCs w:val="24"/>
          <w:highlight w:val="none"/>
          <w:lang w:val="en-US" w:eastAsia="zh-CN"/>
        </w:rPr>
        <w:t>信承诺书。</w:t>
      </w:r>
    </w:p>
    <w:p>
      <w:pPr>
        <w:spacing w:line="360" w:lineRule="auto"/>
        <w:ind w:firstLine="480" w:firstLineChars="200"/>
        <w:textAlignment w:val="baseline"/>
        <w:rPr>
          <w:rFonts w:hint="eastAsia" w:ascii="Times New Roman" w:hAnsi="Times New Roman" w:eastAsia="宋体"/>
          <w:sz w:val="24"/>
          <w:szCs w:val="24"/>
          <w:highlight w:val="none"/>
        </w:rPr>
      </w:pPr>
      <w:r>
        <w:rPr>
          <w:rFonts w:hint="eastAsia" w:ascii="Times New Roman" w:hAnsi="Times New Roman" w:eastAsia="宋体"/>
          <w:sz w:val="24"/>
          <w:szCs w:val="24"/>
          <w:highlight w:val="none"/>
          <w:lang w:val="en-US" w:eastAsia="zh-CN"/>
        </w:rPr>
        <w:t>5、</w:t>
      </w:r>
      <w:r>
        <w:rPr>
          <w:rFonts w:hint="eastAsia" w:ascii="Times New Roman" w:hAnsi="Times New Roman" w:eastAsia="宋体"/>
          <w:sz w:val="24"/>
          <w:szCs w:val="24"/>
          <w:highlight w:val="none"/>
        </w:rPr>
        <w:t>投标供应商营业执照具有消防安全服务类似经营范围。符合国家规定的消防技术服务机构的从业条件，供应商在社会消防技术服务信息系统（http://www.shhxf119.com）中向社会公示的基本信息，提供网页截图并加盖单位公章。</w:t>
      </w:r>
    </w:p>
    <w:p>
      <w:pPr>
        <w:spacing w:line="360" w:lineRule="auto"/>
        <w:ind w:firstLine="482" w:firstLineChars="200"/>
        <w:jc w:val="left"/>
        <w:textAlignment w:val="baseline"/>
        <w:rPr>
          <w:rFonts w:ascii="Times New Roman" w:hAnsi="Times New Roman" w:eastAsia="宋体"/>
          <w:b/>
          <w:sz w:val="24"/>
          <w:szCs w:val="24"/>
          <w:highlight w:val="none"/>
        </w:rPr>
      </w:pPr>
      <w:r>
        <w:rPr>
          <w:rFonts w:hint="eastAsia" w:ascii="Times New Roman" w:hAnsi="Times New Roman" w:eastAsia="宋体"/>
          <w:b/>
          <w:sz w:val="24"/>
          <w:szCs w:val="24"/>
          <w:highlight w:val="none"/>
        </w:rPr>
        <w:t>以上材料如为复印件均需加盖投标单位公章。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highlight w:val="none"/>
        </w:rPr>
        <w:t>二、技术响</w:t>
      </w:r>
      <w:r>
        <w:rPr>
          <w:rFonts w:hint="eastAsia" w:ascii="Times New Roman" w:hAnsi="Times New Roman" w:eastAsia="宋体"/>
          <w:b/>
          <w:bCs/>
          <w:sz w:val="24"/>
          <w:szCs w:val="24"/>
        </w:rPr>
        <w:t>应文件（单独密封）：</w:t>
      </w:r>
    </w:p>
    <w:p>
      <w:pPr>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1、技术商务条款响应正负偏离表</w:t>
      </w:r>
      <w:r>
        <w:rPr>
          <w:rFonts w:hint="eastAsia" w:ascii="Times New Roman" w:hAnsi="Times New Roman" w:eastAsia="宋体" w:cs="宋体"/>
          <w:sz w:val="24"/>
          <w:szCs w:val="24"/>
        </w:rPr>
        <w:t>（格式参见附件）</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lang w:val="en-US" w:eastAsia="zh-CN"/>
        </w:rPr>
        <w:t>2、</w:t>
      </w:r>
      <w:r>
        <w:rPr>
          <w:rFonts w:hint="eastAsia" w:ascii="Times New Roman" w:hAnsi="Times New Roman" w:eastAsia="宋体" w:cs="宋体"/>
          <w:bCs/>
          <w:sz w:val="24"/>
          <w:szCs w:val="24"/>
        </w:rPr>
        <w:t>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lang w:val="en-US" w:eastAsia="zh-CN"/>
        </w:rPr>
        <w:t>3</w:t>
      </w:r>
      <w:r>
        <w:rPr>
          <w:rFonts w:hint="eastAsia" w:ascii="Times New Roman" w:hAnsi="Times New Roman" w:eastAsia="宋体" w:cs="宋体"/>
          <w:bCs/>
          <w:sz w:val="24"/>
          <w:szCs w:val="24"/>
        </w:rPr>
        <w:t>、磋商文件中未涉及的事项，投标供应商认为需要提交的其他资料。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w:t>
      </w:r>
    </w:p>
    <w:p>
      <w:pPr>
        <w:spacing w:line="360" w:lineRule="auto"/>
        <w:ind w:firstLine="480" w:firstLineChars="200"/>
        <w:textAlignment w:val="baseline"/>
        <w:rPr>
          <w:rFonts w:ascii="Times New Roman" w:hAnsi="Times New Roman" w:eastAsia="宋体" w:cs="宋体"/>
          <w:sz w:val="24"/>
          <w:szCs w:val="24"/>
        </w:rPr>
      </w:pP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lang w:eastAsia="zh-CN"/>
        </w:rPr>
        <w:t>南通市第三人民医院消防安全评估项目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lang w:eastAsia="zh-CN"/>
        </w:rPr>
        <w:t>南通市第三人民医院消防安全评估项目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widowControl/>
        <w:spacing w:line="360" w:lineRule="auto"/>
        <w:jc w:val="left"/>
        <w:rPr>
          <w:rFonts w:ascii="Times New Roman" w:hAnsi="Times New Roman" w:eastAsia="宋体" w:cs="宋体"/>
          <w:sz w:val="24"/>
          <w:szCs w:val="24"/>
        </w:rPr>
      </w:pP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3、供应商符合《中华人民共和国政府采购法》第二十二条规定条件的声明函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14:textFill>
            <w14:solidFill>
              <w14:schemeClr w14:val="tx1"/>
            </w14:solidFill>
          </w14:textFill>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360" w:lineRule="auto"/>
        <w:rPr>
          <w:rFonts w:ascii="Times New Roman" w:hAnsi="Times New Roman" w:eastAsia="宋体" w:cs="Times New Roman"/>
          <w:sz w:val="28"/>
          <w:szCs w:val="20"/>
        </w:rPr>
      </w:pPr>
    </w:p>
    <w:p>
      <w:pPr>
        <w:spacing w:line="360" w:lineRule="auto"/>
        <w:ind w:firstLine="480" w:firstLineChars="200"/>
        <w:jc w:val="right"/>
        <w:rPr>
          <w:rFonts w:ascii="Times New Roman" w:hAnsi="Times New Roman" w:eastAsia="宋体" w:cs="宋体"/>
          <w:sz w:val="24"/>
          <w:szCs w:val="24"/>
        </w:rPr>
      </w:pP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b/>
          <w:sz w:val="24"/>
          <w:szCs w:val="24"/>
        </w:rPr>
      </w:pPr>
      <w:r>
        <w:rPr>
          <w:rFonts w:hint="eastAsia" w:ascii="Times New Roman" w:hAnsi="Times New Roman" w:eastAsia="宋体"/>
          <w:b/>
          <w:sz w:val="24"/>
          <w:szCs w:val="24"/>
        </w:rPr>
        <w:t>5、技术商务条款响应正负偏离表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5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953"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采购文件条目号</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360" w:lineRule="auto"/>
        <w:rPr>
          <w:rFonts w:ascii="Times New Roman" w:hAnsi="Times New Roman" w:eastAsia="宋体" w:cs="仿宋"/>
          <w:sz w:val="28"/>
          <w:szCs w:val="28"/>
        </w:rPr>
      </w:pPr>
    </w:p>
    <w:p>
      <w:pPr>
        <w:widowControl/>
        <w:spacing w:line="360" w:lineRule="auto"/>
        <w:jc w:val="center"/>
        <w:rPr>
          <w:rFonts w:ascii="Times New Roman" w:hAnsi="Times New Roman" w:eastAsia="宋体" w:cs="宋体"/>
          <w:b/>
          <w:bCs/>
          <w:sz w:val="24"/>
          <w:szCs w:val="24"/>
        </w:rPr>
      </w:pP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spacing w:line="360" w:lineRule="auto"/>
        <w:jc w:val="center"/>
        <w:rPr>
          <w:rFonts w:ascii="Times New Roman" w:hAnsi="Times New Roman" w:eastAsia="宋体" w:cs="宋体"/>
          <w:b/>
          <w:bCs/>
          <w:sz w:val="24"/>
          <w:szCs w:val="24"/>
        </w:rPr>
      </w:pPr>
      <w:r>
        <w:rPr>
          <w:rFonts w:hint="eastAsia" w:ascii="Times New Roman" w:hAnsi="Times New Roman" w:eastAsia="宋体" w:cs="宋体"/>
          <w:b/>
          <w:bCs/>
          <w:sz w:val="24"/>
          <w:szCs w:val="24"/>
        </w:rPr>
        <w:t>6、竞争性磋商响应函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7、磋商响应报价表</w:t>
      </w:r>
    </w:p>
    <w:p>
      <w:pPr>
        <w:spacing w:line="360" w:lineRule="auto"/>
        <w:ind w:firstLine="241" w:firstLineChars="100"/>
        <w:textAlignment w:val="baseline"/>
        <w:rPr>
          <w:rFonts w:hint="eastAsia" w:ascii="Times New Roman" w:hAnsi="Times New Roman" w:eastAsia="宋体"/>
          <w:b/>
          <w:sz w:val="24"/>
          <w:szCs w:val="24"/>
          <w:lang w:eastAsia="zh-CN"/>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lang w:eastAsia="zh-CN"/>
        </w:rPr>
        <w:t>南通市第三人民医院消防安全评估项目</w:t>
      </w:r>
    </w:p>
    <w:tbl>
      <w:tblPr>
        <w:tblStyle w:val="21"/>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hint="eastAsia" w:ascii="Times New Roman" w:hAnsi="Times New Roman" w:eastAsia="宋体"/>
                <w:b/>
                <w:bCs/>
                <w:sz w:val="20"/>
                <w:szCs w:val="21"/>
                <w:lang w:eastAsia="zh-CN"/>
              </w:rPr>
            </w:pPr>
            <w:r>
              <w:rPr>
                <w:rFonts w:hint="eastAsia" w:ascii="Times New Roman" w:hAnsi="Times New Roman" w:eastAsia="宋体"/>
                <w:b/>
                <w:sz w:val="22"/>
                <w:szCs w:val="24"/>
                <w:lang w:eastAsia="zh-CN"/>
              </w:rPr>
              <w:t>南通市第三人民医院消防安全评估项目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11"/>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11"/>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w:t>
      </w:r>
      <w:r>
        <w:rPr>
          <w:rFonts w:hint="eastAsia" w:ascii="宋体" w:hAnsi="宋体" w:eastAsia="宋体"/>
          <w:bCs/>
          <w:sz w:val="24"/>
          <w:szCs w:val="24"/>
          <w:lang w:eastAsia="zh-CN"/>
        </w:rPr>
        <w:t>包含但不限于</w:t>
      </w:r>
      <w:r>
        <w:rPr>
          <w:rFonts w:hint="eastAsia" w:ascii="宋体" w:hAnsi="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cs="宋体"/>
          <w:sz w:val="24"/>
          <w:szCs w:val="24"/>
        </w:rPr>
        <w:t>。同时，报价也包含了合同履行过程中可能发生的一切风险。</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14:textFill>
            <w14:solidFill>
              <w14:schemeClr w14:val="tx1"/>
            </w14:solidFill>
          </w14:textFill>
        </w:rPr>
        <w:t>第二次报价将在开标现场填写，响应文件密封提交时只需填写磋商报价总计（首次）。报价明细表总价金额应当与首次报价表金额相等，且第二次报价时，磋商响应报价明细表按同比例下浮。</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1"/>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rPr>
        <w:t>磋商响应报价明细表</w:t>
      </w:r>
    </w:p>
    <w:p>
      <w:pPr>
        <w:widowControl/>
        <w:spacing w:line="360" w:lineRule="auto"/>
        <w:jc w:val="left"/>
        <w:rPr>
          <w:rFonts w:ascii="Times New Roman" w:hAnsi="Times New Roman" w:eastAsia="宋体"/>
        </w:rPr>
      </w:pPr>
      <w:r>
        <w:rPr>
          <w:rFonts w:hint="eastAsia" w:ascii="Times New Roman" w:hAnsi="Times New Roman" w:eastAsia="宋体" w:cs="宋体"/>
          <w:sz w:val="24"/>
          <w:szCs w:val="24"/>
        </w:rPr>
        <w:t>项目名称：</w:t>
      </w:r>
      <w:r>
        <w:rPr>
          <w:rFonts w:hint="eastAsia" w:ascii="Times New Roman" w:hAnsi="Times New Roman" w:eastAsia="宋体"/>
          <w:sz w:val="24"/>
          <w:szCs w:val="24"/>
          <w:lang w:eastAsia="zh-CN"/>
        </w:rPr>
        <w:t>南通市第三人民医院消防安全评估项目</w:t>
      </w:r>
    </w:p>
    <w:p>
      <w:pPr>
        <w:widowControl/>
        <w:spacing w:line="360" w:lineRule="auto"/>
        <w:jc w:val="left"/>
        <w:rPr>
          <w:rFonts w:ascii="Times New Roman" w:hAnsi="Times New Roman" w:eastAsia="宋体"/>
        </w:rPr>
      </w:pPr>
    </w:p>
    <w:p>
      <w:pPr>
        <w:widowControl/>
        <w:spacing w:line="360" w:lineRule="auto"/>
        <w:jc w:val="center"/>
        <w:rPr>
          <w:rFonts w:ascii="Times New Roman" w:hAnsi="Times New Roman" w:eastAsia="宋体" w:cs="宋体"/>
          <w:sz w:val="24"/>
          <w:szCs w:val="24"/>
        </w:rPr>
      </w:pPr>
      <w:r>
        <w:rPr>
          <w:rFonts w:hint="eastAsia" w:ascii="Times New Roman" w:hAnsi="Times New Roman" w:eastAsia="宋体" w:cs="宋体"/>
          <w:sz w:val="24"/>
          <w:szCs w:val="24"/>
        </w:rPr>
        <w:t>格式自拟</w:t>
      </w:r>
    </w:p>
    <w:p/>
    <w:p>
      <w:pPr>
        <w:pStyle w:val="9"/>
      </w:pPr>
    </w:p>
    <w:p>
      <w:pPr>
        <w:spacing w:line="360" w:lineRule="auto"/>
        <w:jc w:val="left"/>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pStyle w:val="11"/>
        <w:spacing w:line="360" w:lineRule="auto"/>
        <w:ind w:left="0" w:firstLine="600" w:firstLineChars="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注：1、本项目报价已包括完成本项目所需的一切费用，完成本项目所需的一切费用，</w:t>
      </w:r>
      <w:r>
        <w:rPr>
          <w:rFonts w:hint="eastAsia" w:ascii="宋体" w:hAnsi="宋体" w:eastAsia="宋体"/>
          <w:bCs/>
          <w:sz w:val="24"/>
          <w:szCs w:val="24"/>
          <w:lang w:eastAsia="zh-CN"/>
        </w:rPr>
        <w:t>包含但不限于</w:t>
      </w:r>
      <w:r>
        <w:rPr>
          <w:rFonts w:hint="eastAsia" w:ascii="宋体" w:hAnsi="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bCs/>
          <w:sz w:val="24"/>
          <w:szCs w:val="24"/>
        </w:rPr>
        <w:t>。同时，报价也包含了合同履行过程中可能发生的一切风险。</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2、报价明细表总价金额应当与首次报价表金额相等，且第二次报价时，磋商响应报价明细表按同比例下浮。</w:t>
      </w:r>
    </w:p>
    <w:p>
      <w:pPr>
        <w:spacing w:line="360" w:lineRule="auto"/>
        <w:rPr>
          <w:rFonts w:ascii="Times New Roman" w:hAnsi="Times New Roman" w:eastAsia="宋体"/>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CF87C"/>
    <w:multiLevelType w:val="singleLevel"/>
    <w:tmpl w:val="167CF87C"/>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232372D"/>
    <w:rsid w:val="03A83A42"/>
    <w:rsid w:val="03E379A2"/>
    <w:rsid w:val="041E22FB"/>
    <w:rsid w:val="0475016D"/>
    <w:rsid w:val="0A727010"/>
    <w:rsid w:val="10E548CC"/>
    <w:rsid w:val="10EF15A7"/>
    <w:rsid w:val="115B540E"/>
    <w:rsid w:val="14EA7E81"/>
    <w:rsid w:val="155F3D53"/>
    <w:rsid w:val="157C1E87"/>
    <w:rsid w:val="159468C1"/>
    <w:rsid w:val="15F6320B"/>
    <w:rsid w:val="17BF578A"/>
    <w:rsid w:val="18117D55"/>
    <w:rsid w:val="18263421"/>
    <w:rsid w:val="197565C6"/>
    <w:rsid w:val="1E163551"/>
    <w:rsid w:val="1F8E2FE8"/>
    <w:rsid w:val="203A77C4"/>
    <w:rsid w:val="21B43D41"/>
    <w:rsid w:val="224E366C"/>
    <w:rsid w:val="2335285B"/>
    <w:rsid w:val="274D0351"/>
    <w:rsid w:val="27DE22E9"/>
    <w:rsid w:val="29C97C61"/>
    <w:rsid w:val="2B9F25ED"/>
    <w:rsid w:val="2BD6675A"/>
    <w:rsid w:val="2C5A6960"/>
    <w:rsid w:val="2C6E5A4D"/>
    <w:rsid w:val="2CC8252C"/>
    <w:rsid w:val="2CCE28B7"/>
    <w:rsid w:val="2DD824AC"/>
    <w:rsid w:val="2E672C1C"/>
    <w:rsid w:val="2F837332"/>
    <w:rsid w:val="30A401EF"/>
    <w:rsid w:val="322E658F"/>
    <w:rsid w:val="3329796B"/>
    <w:rsid w:val="34700A2F"/>
    <w:rsid w:val="35CB4299"/>
    <w:rsid w:val="36161DCC"/>
    <w:rsid w:val="366867C2"/>
    <w:rsid w:val="3A3E6499"/>
    <w:rsid w:val="3DA05553"/>
    <w:rsid w:val="3DF31169"/>
    <w:rsid w:val="3EF274D2"/>
    <w:rsid w:val="401C35B7"/>
    <w:rsid w:val="40423602"/>
    <w:rsid w:val="420764B5"/>
    <w:rsid w:val="42672AE3"/>
    <w:rsid w:val="440A15A0"/>
    <w:rsid w:val="448734FB"/>
    <w:rsid w:val="4561465A"/>
    <w:rsid w:val="47693BAF"/>
    <w:rsid w:val="48FE0BAD"/>
    <w:rsid w:val="49727F94"/>
    <w:rsid w:val="49DC3654"/>
    <w:rsid w:val="4B840262"/>
    <w:rsid w:val="53A23A14"/>
    <w:rsid w:val="542A6B2C"/>
    <w:rsid w:val="544F229E"/>
    <w:rsid w:val="55385BD7"/>
    <w:rsid w:val="56E5418D"/>
    <w:rsid w:val="5A4C01FF"/>
    <w:rsid w:val="5A91106B"/>
    <w:rsid w:val="5BD91F04"/>
    <w:rsid w:val="5C855626"/>
    <w:rsid w:val="60480F23"/>
    <w:rsid w:val="633D4A8B"/>
    <w:rsid w:val="64191A38"/>
    <w:rsid w:val="64ED5461"/>
    <w:rsid w:val="64FB113D"/>
    <w:rsid w:val="658F2EA6"/>
    <w:rsid w:val="659772A6"/>
    <w:rsid w:val="6742329A"/>
    <w:rsid w:val="675F7512"/>
    <w:rsid w:val="68A84122"/>
    <w:rsid w:val="68AD6BF3"/>
    <w:rsid w:val="696E2E35"/>
    <w:rsid w:val="6A721EA2"/>
    <w:rsid w:val="6C1132E7"/>
    <w:rsid w:val="6D600F61"/>
    <w:rsid w:val="6E9616EC"/>
    <w:rsid w:val="700D0A38"/>
    <w:rsid w:val="707A560C"/>
    <w:rsid w:val="712D5BF6"/>
    <w:rsid w:val="71AD12AD"/>
    <w:rsid w:val="71EA5EF0"/>
    <w:rsid w:val="72BF1288"/>
    <w:rsid w:val="73392B0C"/>
    <w:rsid w:val="762F76F3"/>
    <w:rsid w:val="76B22FC1"/>
    <w:rsid w:val="798C7570"/>
    <w:rsid w:val="7B85422E"/>
    <w:rsid w:val="7C1A2204"/>
    <w:rsid w:val="7C462374"/>
    <w:rsid w:val="7D5A2578"/>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4">
    <w:name w:val="heading 2"/>
    <w:basedOn w:val="1"/>
    <w:next w:val="1"/>
    <w:link w:val="30"/>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2">
    <w:name w:val="heading 4"/>
    <w:basedOn w:val="1"/>
    <w:next w:val="1"/>
    <w:semiHidden/>
    <w:qFormat/>
    <w:uiPriority w:val="9"/>
    <w:pPr>
      <w:keepNext/>
      <w:keepLines/>
      <w:spacing w:before="280" w:after="290" w:line="372"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8"/>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6">
    <w:name w:val="Document Map"/>
    <w:basedOn w:val="1"/>
    <w:link w:val="31"/>
    <w:semiHidden/>
    <w:unhideWhenUsed/>
    <w:qFormat/>
    <w:uiPriority w:val="99"/>
    <w:rPr>
      <w:rFonts w:ascii="宋体" w:eastAsia="宋体"/>
      <w:sz w:val="18"/>
      <w:szCs w:val="18"/>
    </w:rPr>
  </w:style>
  <w:style w:type="paragraph" w:styleId="7">
    <w:name w:val="toa heading"/>
    <w:basedOn w:val="1"/>
    <w:next w:val="1"/>
    <w:qFormat/>
    <w:uiPriority w:val="0"/>
    <w:rPr>
      <w:rFonts w:ascii="Arial" w:hAnsi="Arial" w:eastAsia="宋体" w:cs="Times New Roman"/>
      <w:sz w:val="24"/>
      <w:szCs w:val="21"/>
    </w:rPr>
  </w:style>
  <w:style w:type="paragraph" w:styleId="8">
    <w:name w:val="annotation text"/>
    <w:basedOn w:val="1"/>
    <w:link w:val="34"/>
    <w:semiHidden/>
    <w:unhideWhenUsed/>
    <w:qFormat/>
    <w:uiPriority w:val="99"/>
    <w:pPr>
      <w:jc w:val="left"/>
    </w:pPr>
  </w:style>
  <w:style w:type="paragraph" w:styleId="9">
    <w:name w:val="Body Text"/>
    <w:basedOn w:val="1"/>
    <w:next w:val="1"/>
    <w:qFormat/>
    <w:uiPriority w:val="0"/>
    <w:rPr>
      <w:rFonts w:ascii="楷体_GB2312" w:hAnsi="Arial" w:eastAsia="楷体_GB2312"/>
      <w:sz w:val="28"/>
      <w:szCs w:val="28"/>
    </w:rPr>
  </w:style>
  <w:style w:type="paragraph" w:styleId="10">
    <w:name w:val="Body Text Indent"/>
    <w:basedOn w:val="1"/>
    <w:semiHidden/>
    <w:unhideWhenUsed/>
    <w:qFormat/>
    <w:uiPriority w:val="99"/>
    <w:pPr>
      <w:spacing w:after="120"/>
      <w:ind w:left="420" w:leftChars="200"/>
    </w:pPr>
  </w:style>
  <w:style w:type="paragraph" w:styleId="11">
    <w:name w:val="index 4"/>
    <w:basedOn w:val="1"/>
    <w:next w:val="1"/>
    <w:qFormat/>
    <w:uiPriority w:val="0"/>
    <w:pPr>
      <w:ind w:left="1260"/>
    </w:pPr>
    <w:rPr>
      <w:rFonts w:ascii="Calibri" w:hAnsi="Calibri" w:eastAsia="宋体" w:cs="Times New Roman"/>
      <w:szCs w:val="20"/>
    </w:rPr>
  </w:style>
  <w:style w:type="paragraph" w:styleId="12">
    <w:name w:val="toc 3"/>
    <w:basedOn w:val="1"/>
    <w:next w:val="1"/>
    <w:qFormat/>
    <w:uiPriority w:val="0"/>
    <w:pPr>
      <w:ind w:left="840" w:leftChars="400"/>
    </w:pPr>
    <w:rPr>
      <w:rFonts w:ascii="Calibri" w:hAnsi="Calibri" w:eastAsia="宋体" w:cs="Times New Roman"/>
      <w:szCs w:val="20"/>
    </w:rPr>
  </w:style>
  <w:style w:type="paragraph" w:styleId="13">
    <w:name w:val="Plain Text"/>
    <w:basedOn w:val="1"/>
    <w:next w:val="1"/>
    <w:link w:val="40"/>
    <w:qFormat/>
    <w:uiPriority w:val="99"/>
    <w:rPr>
      <w:rFonts w:ascii="宋体" w:hAnsi="Courier New" w:eastAsia="宋体" w:cs="Times New Roman"/>
      <w:szCs w:val="20"/>
    </w:rPr>
  </w:style>
  <w:style w:type="paragraph" w:styleId="14">
    <w:name w:val="Balloon Text"/>
    <w:basedOn w:val="1"/>
    <w:link w:val="33"/>
    <w:semiHidden/>
    <w:unhideWhenUsed/>
    <w:qFormat/>
    <w:uiPriority w:val="99"/>
    <w:rPr>
      <w:sz w:val="18"/>
      <w:szCs w:val="18"/>
    </w:rPr>
  </w:style>
  <w:style w:type="paragraph" w:styleId="15">
    <w:name w:val="footer"/>
    <w:basedOn w:val="1"/>
    <w:link w:val="27"/>
    <w:unhideWhenUsed/>
    <w:qFormat/>
    <w:uiPriority w:val="99"/>
    <w:pPr>
      <w:tabs>
        <w:tab w:val="center" w:pos="4153"/>
        <w:tab w:val="right" w:pos="8306"/>
      </w:tabs>
      <w:snapToGrid w:val="0"/>
      <w:jc w:val="left"/>
    </w:pPr>
    <w:rPr>
      <w:sz w:val="18"/>
      <w:szCs w:val="18"/>
    </w:rPr>
  </w:style>
  <w:style w:type="paragraph" w:styleId="1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18">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9">
    <w:name w:val="annotation subject"/>
    <w:basedOn w:val="8"/>
    <w:next w:val="8"/>
    <w:link w:val="35"/>
    <w:semiHidden/>
    <w:unhideWhenUsed/>
    <w:qFormat/>
    <w:uiPriority w:val="99"/>
    <w:rPr>
      <w:b/>
      <w:bCs/>
    </w:rPr>
  </w:style>
  <w:style w:type="paragraph" w:styleId="20">
    <w:name w:val="Body Text First Indent 2"/>
    <w:basedOn w:val="10"/>
    <w:unhideWhenUsed/>
    <w:qFormat/>
    <w:uiPriority w:val="99"/>
    <w:pPr>
      <w:ind w:firstLine="420" w:firstLineChars="200"/>
    </w:p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页眉 Char"/>
    <w:basedOn w:val="23"/>
    <w:link w:val="16"/>
    <w:qFormat/>
    <w:uiPriority w:val="99"/>
    <w:rPr>
      <w:sz w:val="18"/>
      <w:szCs w:val="18"/>
    </w:rPr>
  </w:style>
  <w:style w:type="character" w:customStyle="1" w:styleId="27">
    <w:name w:val="页脚 Char"/>
    <w:basedOn w:val="23"/>
    <w:link w:val="15"/>
    <w:qFormat/>
    <w:uiPriority w:val="99"/>
    <w:rPr>
      <w:sz w:val="18"/>
      <w:szCs w:val="18"/>
    </w:rPr>
  </w:style>
  <w:style w:type="character" w:customStyle="1" w:styleId="28">
    <w:name w:val="正文缩进 Char"/>
    <w:link w:val="5"/>
    <w:qFormat/>
    <w:uiPriority w:val="0"/>
    <w:rPr>
      <w:rFonts w:ascii="Calibri" w:hAnsi="Calibri" w:eastAsia="楷体_GB2312" w:cs="Times New Roman"/>
      <w:kern w:val="0"/>
      <w:sz w:val="24"/>
      <w:szCs w:val="20"/>
    </w:rPr>
  </w:style>
  <w:style w:type="character" w:customStyle="1" w:styleId="29">
    <w:name w:val="标题 1 Char"/>
    <w:basedOn w:val="23"/>
    <w:link w:val="3"/>
    <w:qFormat/>
    <w:uiPriority w:val="0"/>
    <w:rPr>
      <w:rFonts w:ascii="Calibri" w:hAnsi="Calibri" w:eastAsia="楷体_GB2312" w:cs="Times New Roman"/>
      <w:b/>
      <w:kern w:val="44"/>
      <w:sz w:val="44"/>
      <w:szCs w:val="20"/>
    </w:rPr>
  </w:style>
  <w:style w:type="character" w:customStyle="1" w:styleId="30">
    <w:name w:val="标题 2 Char"/>
    <w:basedOn w:val="23"/>
    <w:link w:val="4"/>
    <w:qFormat/>
    <w:uiPriority w:val="9"/>
    <w:rPr>
      <w:rFonts w:asciiTheme="majorHAnsi" w:hAnsiTheme="majorHAnsi" w:eastAsiaTheme="majorEastAsia" w:cstheme="majorBidi"/>
      <w:b/>
      <w:bCs/>
      <w:sz w:val="32"/>
      <w:szCs w:val="32"/>
    </w:rPr>
  </w:style>
  <w:style w:type="character" w:customStyle="1" w:styleId="31">
    <w:name w:val="文档结构图 Char"/>
    <w:basedOn w:val="23"/>
    <w:link w:val="6"/>
    <w:semiHidden/>
    <w:qFormat/>
    <w:uiPriority w:val="99"/>
    <w:rPr>
      <w:rFonts w:ascii="宋体" w:eastAsia="宋体"/>
      <w:sz w:val="18"/>
      <w:szCs w:val="18"/>
    </w:rPr>
  </w:style>
  <w:style w:type="character" w:customStyle="1" w:styleId="32">
    <w:name w:val="NormalCharacter"/>
    <w:qFormat/>
    <w:uiPriority w:val="0"/>
    <w:rPr>
      <w:rFonts w:ascii="Times New Roman" w:hAnsi="Times New Roman" w:eastAsia="宋体" w:cs="Times New Roman"/>
    </w:rPr>
  </w:style>
  <w:style w:type="character" w:customStyle="1" w:styleId="33">
    <w:name w:val="批注框文本 Char"/>
    <w:basedOn w:val="23"/>
    <w:link w:val="14"/>
    <w:semiHidden/>
    <w:qFormat/>
    <w:uiPriority w:val="99"/>
    <w:rPr>
      <w:kern w:val="2"/>
      <w:sz w:val="18"/>
      <w:szCs w:val="18"/>
    </w:rPr>
  </w:style>
  <w:style w:type="character" w:customStyle="1" w:styleId="34">
    <w:name w:val="批注文字 Char"/>
    <w:basedOn w:val="23"/>
    <w:link w:val="8"/>
    <w:semiHidden/>
    <w:qFormat/>
    <w:uiPriority w:val="99"/>
    <w:rPr>
      <w:kern w:val="2"/>
      <w:sz w:val="21"/>
      <w:szCs w:val="22"/>
    </w:rPr>
  </w:style>
  <w:style w:type="character" w:customStyle="1" w:styleId="35">
    <w:name w:val="批注主题 Char"/>
    <w:basedOn w:val="34"/>
    <w:link w:val="19"/>
    <w:semiHidden/>
    <w:qFormat/>
    <w:uiPriority w:val="99"/>
    <w:rPr>
      <w:b/>
      <w:bCs/>
      <w:kern w:val="2"/>
      <w:sz w:val="21"/>
      <w:szCs w:val="22"/>
    </w:rPr>
  </w:style>
  <w:style w:type="character" w:customStyle="1" w:styleId="36">
    <w:name w:val="普通正文 Char"/>
    <w:link w:val="37"/>
    <w:qFormat/>
    <w:uiPriority w:val="0"/>
    <w:rPr>
      <w:rFonts w:ascii="Arial" w:hAnsi="Arial"/>
      <w:sz w:val="24"/>
      <w:szCs w:val="24"/>
    </w:rPr>
  </w:style>
  <w:style w:type="paragraph" w:customStyle="1" w:styleId="37">
    <w:name w:val="普通正文"/>
    <w:basedOn w:val="1"/>
    <w:link w:val="36"/>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38">
    <w:name w:val="Normal_6"/>
    <w:qFormat/>
    <w:uiPriority w:val="0"/>
    <w:rPr>
      <w:rFonts w:ascii="Times New Roman" w:hAnsi="Times New Roman" w:eastAsia="Times New Roman" w:cs="Times New Roman"/>
      <w:sz w:val="24"/>
      <w:szCs w:val="24"/>
      <w:lang w:val="en-US" w:eastAsia="zh-CN" w:bidi="ar-SA"/>
    </w:rPr>
  </w:style>
  <w:style w:type="paragraph" w:customStyle="1" w:styleId="39">
    <w:name w:val="Normal_5"/>
    <w:qFormat/>
    <w:uiPriority w:val="0"/>
    <w:rPr>
      <w:rFonts w:ascii="Times New Roman" w:hAnsi="Times New Roman" w:eastAsia="Times New Roman" w:cs="Times New Roman"/>
      <w:sz w:val="24"/>
      <w:szCs w:val="24"/>
      <w:lang w:val="en-US" w:eastAsia="zh-CN" w:bidi="ar-SA"/>
    </w:rPr>
  </w:style>
  <w:style w:type="character" w:customStyle="1" w:styleId="40">
    <w:name w:val="纯文本 Char"/>
    <w:basedOn w:val="23"/>
    <w:link w:val="13"/>
    <w:qFormat/>
    <w:locked/>
    <w:uiPriority w:val="0"/>
    <w:rPr>
      <w:rFonts w:ascii="宋体" w:hAnsi="Courier New" w:eastAsia="宋体" w:cs="Times New Roman"/>
      <w:kern w:val="2"/>
      <w:sz w:val="21"/>
    </w:rPr>
  </w:style>
  <w:style w:type="paragraph" w:styleId="41">
    <w:name w:val="List Paragraph"/>
    <w:basedOn w:val="1"/>
    <w:qFormat/>
    <w:uiPriority w:val="34"/>
    <w:pPr>
      <w:ind w:firstLine="420" w:firstLineChars="200"/>
    </w:pPr>
    <w:rPr>
      <w:rFonts w:ascii="Times New Roman" w:hAnsi="Times New Roman" w:eastAsia="宋体" w:cs="Times New Roman"/>
      <w:szCs w:val="21"/>
    </w:rPr>
  </w:style>
  <w:style w:type="paragraph" w:customStyle="1" w:styleId="42">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15209</Words>
  <Characters>15586</Characters>
  <Lines>120</Lines>
  <Paragraphs>33</Paragraphs>
  <TotalTime>2</TotalTime>
  <ScaleCrop>false</ScaleCrop>
  <LinksUpToDate>false</LinksUpToDate>
  <CharactersWithSpaces>15693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小白</cp:lastModifiedBy>
  <dcterms:modified xsi:type="dcterms:W3CDTF">2023-09-18T02:14:29Z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1813B2E6B8CD42FA86CEE811DE9BA6EA_13</vt:lpwstr>
  </property>
</Properties>
</file>