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5760"/>
          <w:tab w:val="left" w:pos="6300"/>
        </w:tabs>
        <w:kinsoku/>
        <w:wordWrap/>
        <w:topLinePunct w:val="0"/>
        <w:autoSpaceDE/>
        <w:autoSpaceDN/>
        <w:bidi w:val="0"/>
        <w:spacing w:line="360" w:lineRule="auto"/>
        <w:jc w:val="left"/>
        <w:textAlignment w:val="baseline"/>
        <w:rPr>
          <w:rFonts w:ascii="Times New Roman" w:hAnsi="Times New Roman" w:eastAsia="宋体"/>
          <w:sz w:val="44"/>
          <w:szCs w:val="44"/>
        </w:rPr>
      </w:pPr>
    </w:p>
    <w:p>
      <w:pPr>
        <w:keepNext w:val="0"/>
        <w:keepLines w:val="0"/>
        <w:pageBreakBefore w:val="0"/>
        <w:widowControl w:val="0"/>
        <w:tabs>
          <w:tab w:val="left" w:pos="5760"/>
          <w:tab w:val="left" w:pos="6300"/>
        </w:tabs>
        <w:kinsoku/>
        <w:wordWrap/>
        <w:topLinePunct w:val="0"/>
        <w:autoSpaceDE/>
        <w:autoSpaceDN/>
        <w:bidi w:val="0"/>
        <w:spacing w:line="360" w:lineRule="auto"/>
        <w:jc w:val="left"/>
        <w:textAlignment w:val="baseline"/>
        <w:rPr>
          <w:rFonts w:ascii="Times New Roman" w:hAnsi="Times New Roman" w:eastAsia="宋体"/>
          <w:sz w:val="44"/>
          <w:szCs w:val="44"/>
        </w:rPr>
      </w:pPr>
      <w:r>
        <w:rPr>
          <w:rFonts w:ascii="Times New Roman" w:hAnsi="Times New Roman" w:eastAsia="宋体"/>
          <w:sz w:val="44"/>
          <w:szCs w:val="44"/>
        </w:rPr>
        <w:tab/>
      </w:r>
    </w:p>
    <w:p>
      <w:pPr>
        <w:pStyle w:val="51"/>
        <w:keepNext w:val="0"/>
        <w:keepLines w:val="0"/>
        <w:pageBreakBefore w:val="0"/>
        <w:widowControl w:val="0"/>
        <w:kinsoku/>
        <w:wordWrap/>
        <w:topLinePunct w:val="0"/>
        <w:autoSpaceDE/>
        <w:autoSpaceDN/>
        <w:bidi w:val="0"/>
        <w:spacing w:before="0" w:after="0" w:line="360" w:lineRule="auto"/>
        <w:ind w:firstLine="0"/>
        <w:rPr>
          <w:rFonts w:hint="eastAsia" w:ascii="Times New Roman" w:hAnsi="Times New Roman" w:eastAsia="宋体"/>
          <w:b/>
          <w:sz w:val="56"/>
          <w:szCs w:val="56"/>
          <w:lang w:eastAsia="zh-CN"/>
        </w:rPr>
      </w:pPr>
      <w:r>
        <w:rPr>
          <w:rFonts w:hint="eastAsia" w:ascii="Times New Roman" w:hAnsi="Times New Roman" w:eastAsia="宋体"/>
          <w:b/>
          <w:sz w:val="56"/>
          <w:szCs w:val="56"/>
          <w:lang w:eastAsia="zh-CN"/>
        </w:rPr>
        <w:t>南通市第三人民医院多学科会诊平台项目</w:t>
      </w:r>
    </w:p>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sz w:val="72"/>
          <w:szCs w:val="56"/>
        </w:rPr>
      </w:pPr>
    </w:p>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sz w:val="56"/>
          <w:szCs w:val="56"/>
        </w:rPr>
      </w:pPr>
    </w:p>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sz w:val="56"/>
          <w:szCs w:val="56"/>
        </w:rPr>
      </w:pPr>
    </w:p>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sz w:val="72"/>
          <w:szCs w:val="56"/>
        </w:rPr>
      </w:pPr>
    </w:p>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sz w:val="72"/>
          <w:szCs w:val="56"/>
        </w:rPr>
      </w:pPr>
      <w:r>
        <w:rPr>
          <w:rFonts w:ascii="Times New Roman" w:hAnsi="Times New Roman" w:eastAsia="宋体"/>
          <w:b/>
          <w:sz w:val="72"/>
          <w:szCs w:val="56"/>
        </w:rPr>
        <w:t>竞争性磋商文件</w:t>
      </w:r>
    </w:p>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sz w:val="44"/>
          <w:szCs w:val="44"/>
        </w:rPr>
      </w:pPr>
      <w:r>
        <w:rPr>
          <w:rFonts w:hint="eastAsia" w:ascii="Times New Roman" w:hAnsi="Times New Roman" w:eastAsia="宋体"/>
          <w:b/>
          <w:sz w:val="44"/>
          <w:szCs w:val="44"/>
        </w:rPr>
        <w:t>（资格后审）</w:t>
      </w:r>
    </w:p>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sz w:val="36"/>
        </w:rPr>
      </w:pPr>
    </w:p>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sz w:val="36"/>
        </w:rPr>
      </w:pP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b/>
          <w:sz w:val="36"/>
        </w:rPr>
      </w:pPr>
    </w:p>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sz w:val="36"/>
        </w:rPr>
      </w:pP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b/>
          <w:sz w:val="30"/>
          <w:szCs w:val="30"/>
        </w:rPr>
      </w:pPr>
    </w:p>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b/>
          <w:sz w:val="30"/>
          <w:szCs w:val="30"/>
        </w:rPr>
      </w:pPr>
      <w:r>
        <w:rPr>
          <w:rFonts w:hint="eastAsia" w:ascii="Times New Roman" w:hAnsi="Times New Roman" w:eastAsia="宋体" w:cs="宋体"/>
          <w:b/>
          <w:sz w:val="30"/>
          <w:szCs w:val="30"/>
        </w:rPr>
        <w:t>采购单位：南通市第三人民医院</w:t>
      </w:r>
    </w:p>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b/>
          <w:sz w:val="30"/>
          <w:szCs w:val="30"/>
        </w:rPr>
      </w:pPr>
      <w:r>
        <w:rPr>
          <w:rFonts w:hint="eastAsia" w:ascii="Times New Roman" w:hAnsi="Times New Roman" w:eastAsia="宋体" w:cs="宋体"/>
          <w:b/>
          <w:sz w:val="30"/>
          <w:szCs w:val="30"/>
        </w:rPr>
        <w:t>代理机构：宏信天德工程顾问有限公司</w:t>
      </w:r>
    </w:p>
    <w:p>
      <w:pPr>
        <w:keepNext w:val="0"/>
        <w:keepLines w:val="0"/>
        <w:pageBreakBefore w:val="0"/>
        <w:widowControl w:val="0"/>
        <w:kinsoku/>
        <w:wordWrap/>
        <w:topLinePunct w:val="0"/>
        <w:autoSpaceDE/>
        <w:autoSpaceDN/>
        <w:bidi w:val="0"/>
        <w:adjustRightInd w:val="0"/>
        <w:snapToGrid w:val="0"/>
        <w:spacing w:line="360" w:lineRule="auto"/>
        <w:jc w:val="center"/>
        <w:rPr>
          <w:rFonts w:hint="eastAsia" w:ascii="Times New Roman" w:hAnsi="Times New Roman" w:eastAsia="宋体" w:cs="仿宋"/>
          <w:b/>
          <w:sz w:val="32"/>
          <w:szCs w:val="32"/>
          <w:lang w:eastAsia="zh-CN"/>
        </w:rPr>
      </w:pPr>
      <w:r>
        <w:rPr>
          <w:rFonts w:hint="eastAsia" w:ascii="Times New Roman" w:hAnsi="Times New Roman" w:eastAsia="宋体" w:cs="仿宋"/>
          <w:b/>
          <w:sz w:val="32"/>
          <w:szCs w:val="32"/>
        </w:rPr>
        <w:t>二○二</w:t>
      </w:r>
      <w:r>
        <w:rPr>
          <w:rFonts w:hint="eastAsia" w:ascii="Times New Roman" w:hAnsi="Times New Roman" w:eastAsia="宋体" w:cs="仿宋"/>
          <w:b/>
          <w:sz w:val="32"/>
          <w:szCs w:val="32"/>
          <w:lang w:eastAsia="zh-CN"/>
        </w:rPr>
        <w:t>四</w:t>
      </w:r>
      <w:r>
        <w:rPr>
          <w:rFonts w:hint="eastAsia" w:ascii="Times New Roman" w:hAnsi="Times New Roman" w:eastAsia="宋体" w:cs="仿宋"/>
          <w:b/>
          <w:sz w:val="32"/>
          <w:szCs w:val="32"/>
        </w:rPr>
        <w:t>年</w:t>
      </w:r>
      <w:r>
        <w:rPr>
          <w:rFonts w:hint="eastAsia" w:ascii="Times New Roman" w:hAnsi="Times New Roman" w:eastAsia="宋体" w:cs="仿宋"/>
          <w:b/>
          <w:sz w:val="32"/>
          <w:szCs w:val="32"/>
          <w:lang w:eastAsia="zh-CN"/>
        </w:rPr>
        <w:t>一月</w:t>
      </w:r>
    </w:p>
    <w:p>
      <w:pPr>
        <w:rPr>
          <w:rFonts w:hint="eastAsia" w:ascii="Times New Roman" w:hAnsi="Times New Roman" w:eastAsia="宋体" w:cs="仿宋"/>
          <w:b/>
          <w:sz w:val="32"/>
          <w:szCs w:val="32"/>
          <w:lang w:eastAsia="zh-CN"/>
        </w:rPr>
      </w:pPr>
      <w:r>
        <w:rPr>
          <w:rFonts w:hint="eastAsia" w:ascii="Times New Roman" w:hAnsi="Times New Roman" w:eastAsia="宋体" w:cs="仿宋"/>
          <w:b/>
          <w:sz w:val="32"/>
          <w:szCs w:val="32"/>
          <w:lang w:eastAsia="zh-CN"/>
        </w:rPr>
        <w:br w:type="page"/>
      </w:r>
    </w:p>
    <w:p>
      <w:pPr>
        <w:pStyle w:val="2"/>
        <w:rPr>
          <w:rFonts w:hint="eastAsia"/>
        </w:rPr>
      </w:pPr>
    </w:p>
    <w:p>
      <w:pPr>
        <w:keepNext w:val="0"/>
        <w:keepLines w:val="0"/>
        <w:pageBreakBefore w:val="0"/>
        <w:widowControl w:val="0"/>
        <w:kinsoku/>
        <w:wordWrap/>
        <w:topLinePunct w:val="0"/>
        <w:autoSpaceDE/>
        <w:autoSpaceDN/>
        <w:bidi w:val="0"/>
        <w:adjustRightInd w:val="0"/>
        <w:snapToGrid w:val="0"/>
        <w:spacing w:line="360" w:lineRule="auto"/>
        <w:jc w:val="center"/>
        <w:rPr>
          <w:rFonts w:ascii="Times New Roman" w:hAnsi="Times New Roman" w:eastAsia="宋体"/>
          <w:b/>
          <w:sz w:val="30"/>
          <w:szCs w:val="30"/>
        </w:rPr>
      </w:pPr>
      <w:r>
        <w:rPr>
          <w:rFonts w:hint="eastAsia" w:ascii="Times New Roman" w:hAnsi="Times New Roman" w:eastAsia="宋体"/>
          <w:b/>
          <w:sz w:val="44"/>
          <w:szCs w:val="44"/>
        </w:rPr>
        <w:t>目  录</w:t>
      </w:r>
    </w:p>
    <w:p>
      <w:pPr>
        <w:pStyle w:val="6"/>
        <w:keepNext w:val="0"/>
        <w:keepLines w:val="0"/>
        <w:pageBreakBefore w:val="0"/>
        <w:widowControl w:val="0"/>
        <w:kinsoku/>
        <w:wordWrap/>
        <w:overflowPunct w:val="0"/>
        <w:topLinePunct w:val="0"/>
        <w:autoSpaceDE/>
        <w:autoSpaceDN/>
        <w:bidi w:val="0"/>
        <w:spacing w:line="360" w:lineRule="auto"/>
        <w:ind w:firstLine="0"/>
        <w:jc w:val="center"/>
        <w:rPr>
          <w:rFonts w:ascii="Times New Roman" w:hAnsi="Times New Roman" w:eastAsia="宋体"/>
          <w:sz w:val="30"/>
        </w:rPr>
      </w:pPr>
    </w:p>
    <w:p>
      <w:pPr>
        <w:pStyle w:val="18"/>
        <w:keepNext w:val="0"/>
        <w:keepLines w:val="0"/>
        <w:pageBreakBefore w:val="0"/>
        <w:widowControl w:val="0"/>
        <w:tabs>
          <w:tab w:val="right" w:leader="dot" w:pos="9528"/>
        </w:tabs>
        <w:kinsoku/>
        <w:wordWrap/>
        <w:topLinePunct w:val="0"/>
        <w:autoSpaceDE/>
        <w:autoSpaceDN/>
        <w:bidi w:val="0"/>
        <w:spacing w:line="360" w:lineRule="auto"/>
        <w:rPr>
          <w:rFonts w:ascii="Times New Roman" w:hAnsi="Times New Roman" w:eastAsia="宋体"/>
          <w:sz w:val="32"/>
          <w:szCs w:val="32"/>
        </w:rPr>
      </w:pPr>
      <w:r>
        <w:rPr>
          <w:rFonts w:ascii="Times New Roman" w:hAnsi="Times New Roman" w:eastAsia="宋体"/>
          <w:b/>
          <w:bCs/>
          <w:sz w:val="36"/>
          <w:szCs w:val="36"/>
        </w:rPr>
        <w:fldChar w:fldCharType="begin"/>
      </w:r>
      <w:r>
        <w:rPr>
          <w:rFonts w:ascii="Times New Roman" w:hAnsi="Times New Roman" w:eastAsia="宋体"/>
          <w:b/>
          <w:bCs/>
          <w:sz w:val="36"/>
          <w:szCs w:val="36"/>
        </w:rPr>
        <w:instrText xml:space="preserve"> TOC \o "1-1"</w:instrText>
      </w:r>
      <w:r>
        <w:rPr>
          <w:rFonts w:ascii="Times New Roman" w:hAnsi="Times New Roman" w:eastAsia="宋体"/>
          <w:b/>
          <w:bCs/>
          <w:sz w:val="36"/>
          <w:szCs w:val="36"/>
        </w:rPr>
        <w:fldChar w:fldCharType="separate"/>
      </w:r>
      <w:r>
        <w:rPr>
          <w:rFonts w:ascii="Times New Roman" w:hAnsi="Times New Roman" w:eastAsia="宋体"/>
          <w:sz w:val="32"/>
          <w:szCs w:val="32"/>
        </w:rPr>
        <w:t xml:space="preserve">第一章 </w:t>
      </w:r>
      <w:r>
        <w:rPr>
          <w:rFonts w:hint="eastAsia" w:ascii="Times New Roman" w:hAnsi="Times New Roman" w:eastAsia="宋体"/>
          <w:sz w:val="32"/>
          <w:szCs w:val="32"/>
        </w:rPr>
        <w:t>竞争性磋商公告</w:t>
      </w:r>
    </w:p>
    <w:p>
      <w:pPr>
        <w:pStyle w:val="18"/>
        <w:keepNext w:val="0"/>
        <w:keepLines w:val="0"/>
        <w:pageBreakBefore w:val="0"/>
        <w:widowControl w:val="0"/>
        <w:tabs>
          <w:tab w:val="right" w:leader="dot" w:pos="9528"/>
        </w:tabs>
        <w:kinsoku/>
        <w:wordWrap/>
        <w:topLinePunct w:val="0"/>
        <w:autoSpaceDE/>
        <w:autoSpaceDN/>
        <w:bidi w:val="0"/>
        <w:spacing w:line="360" w:lineRule="auto"/>
        <w:rPr>
          <w:rFonts w:ascii="Times New Roman" w:hAnsi="Times New Roman" w:eastAsia="宋体"/>
          <w:sz w:val="32"/>
          <w:szCs w:val="32"/>
        </w:rPr>
      </w:pPr>
      <w:r>
        <w:rPr>
          <w:rFonts w:ascii="Times New Roman" w:hAnsi="Times New Roman" w:eastAsia="宋体"/>
          <w:sz w:val="32"/>
          <w:szCs w:val="32"/>
        </w:rPr>
        <w:t>第二章 投标</w:t>
      </w:r>
      <w:r>
        <w:rPr>
          <w:rFonts w:hint="eastAsia" w:ascii="Times New Roman" w:hAnsi="Times New Roman" w:eastAsia="宋体"/>
          <w:sz w:val="32"/>
          <w:szCs w:val="32"/>
        </w:rPr>
        <w:t>供应商</w:t>
      </w:r>
      <w:r>
        <w:rPr>
          <w:rFonts w:ascii="Times New Roman" w:hAnsi="Times New Roman" w:eastAsia="宋体"/>
          <w:sz w:val="32"/>
          <w:szCs w:val="32"/>
        </w:rPr>
        <w:t>须知</w:t>
      </w:r>
    </w:p>
    <w:p>
      <w:pPr>
        <w:pStyle w:val="18"/>
        <w:keepNext w:val="0"/>
        <w:keepLines w:val="0"/>
        <w:pageBreakBefore w:val="0"/>
        <w:widowControl w:val="0"/>
        <w:tabs>
          <w:tab w:val="right" w:leader="dot" w:pos="9528"/>
        </w:tabs>
        <w:kinsoku/>
        <w:wordWrap/>
        <w:topLinePunct w:val="0"/>
        <w:autoSpaceDE/>
        <w:autoSpaceDN/>
        <w:bidi w:val="0"/>
        <w:spacing w:line="360" w:lineRule="auto"/>
        <w:rPr>
          <w:rFonts w:ascii="Times New Roman" w:hAnsi="Times New Roman" w:eastAsia="宋体"/>
          <w:sz w:val="32"/>
          <w:szCs w:val="32"/>
        </w:rPr>
      </w:pPr>
      <w:r>
        <w:rPr>
          <w:rFonts w:ascii="Times New Roman" w:hAnsi="Times New Roman" w:eastAsia="宋体"/>
          <w:sz w:val="32"/>
          <w:szCs w:val="32"/>
        </w:rPr>
        <w:t>第三章 项目需求</w:t>
      </w:r>
    </w:p>
    <w:p>
      <w:pPr>
        <w:pStyle w:val="18"/>
        <w:keepNext w:val="0"/>
        <w:keepLines w:val="0"/>
        <w:pageBreakBefore w:val="0"/>
        <w:widowControl w:val="0"/>
        <w:tabs>
          <w:tab w:val="right" w:leader="dot" w:pos="9528"/>
        </w:tabs>
        <w:kinsoku/>
        <w:wordWrap/>
        <w:topLinePunct w:val="0"/>
        <w:autoSpaceDE/>
        <w:autoSpaceDN/>
        <w:bidi w:val="0"/>
        <w:spacing w:line="360" w:lineRule="auto"/>
        <w:rPr>
          <w:rFonts w:ascii="Times New Roman" w:hAnsi="Times New Roman" w:eastAsia="宋体"/>
          <w:sz w:val="32"/>
          <w:szCs w:val="32"/>
        </w:rPr>
      </w:pPr>
      <w:r>
        <w:rPr>
          <w:rFonts w:ascii="Times New Roman" w:hAnsi="Times New Roman" w:eastAsia="宋体"/>
          <w:sz w:val="32"/>
          <w:szCs w:val="32"/>
        </w:rPr>
        <w:t>第</w:t>
      </w:r>
      <w:r>
        <w:rPr>
          <w:rFonts w:hint="eastAsia" w:ascii="Times New Roman" w:hAnsi="Times New Roman" w:eastAsia="宋体"/>
          <w:sz w:val="32"/>
          <w:szCs w:val="32"/>
        </w:rPr>
        <w:t>四</w:t>
      </w:r>
      <w:r>
        <w:rPr>
          <w:rFonts w:ascii="Times New Roman" w:hAnsi="Times New Roman" w:eastAsia="宋体"/>
          <w:sz w:val="32"/>
          <w:szCs w:val="32"/>
        </w:rPr>
        <w:t xml:space="preserve">章 </w:t>
      </w:r>
      <w:r>
        <w:rPr>
          <w:rFonts w:hint="eastAsia" w:ascii="Times New Roman" w:hAnsi="Times New Roman" w:eastAsia="宋体"/>
          <w:sz w:val="32"/>
          <w:szCs w:val="32"/>
        </w:rPr>
        <w:t>评审方法和程序</w:t>
      </w:r>
    </w:p>
    <w:p>
      <w:pPr>
        <w:pStyle w:val="18"/>
        <w:keepNext w:val="0"/>
        <w:keepLines w:val="0"/>
        <w:pageBreakBefore w:val="0"/>
        <w:widowControl w:val="0"/>
        <w:tabs>
          <w:tab w:val="right" w:leader="dot" w:pos="9528"/>
        </w:tabs>
        <w:kinsoku/>
        <w:wordWrap/>
        <w:topLinePunct w:val="0"/>
        <w:autoSpaceDE/>
        <w:autoSpaceDN/>
        <w:bidi w:val="0"/>
        <w:spacing w:line="360" w:lineRule="auto"/>
        <w:rPr>
          <w:rFonts w:ascii="Times New Roman" w:hAnsi="Times New Roman" w:eastAsia="宋体"/>
          <w:sz w:val="32"/>
          <w:szCs w:val="32"/>
        </w:rPr>
      </w:pPr>
      <w:r>
        <w:rPr>
          <w:rFonts w:hint="eastAsia" w:ascii="Times New Roman" w:hAnsi="Times New Roman" w:eastAsia="宋体"/>
          <w:sz w:val="32"/>
          <w:szCs w:val="32"/>
        </w:rPr>
        <w:t>第五章 合同授予</w:t>
      </w:r>
    </w:p>
    <w:p>
      <w:pPr>
        <w:keepNext w:val="0"/>
        <w:keepLines w:val="0"/>
        <w:pageBreakBefore w:val="0"/>
        <w:widowControl w:val="0"/>
        <w:kinsoku/>
        <w:wordWrap/>
        <w:topLinePunct w:val="0"/>
        <w:autoSpaceDE/>
        <w:autoSpaceDN/>
        <w:bidi w:val="0"/>
        <w:spacing w:line="360" w:lineRule="auto"/>
        <w:rPr>
          <w:rFonts w:ascii="Times New Roman" w:hAnsi="Times New Roman" w:eastAsia="宋体"/>
          <w:sz w:val="32"/>
          <w:szCs w:val="32"/>
        </w:rPr>
      </w:pPr>
      <w:r>
        <w:rPr>
          <w:rFonts w:ascii="Times New Roman" w:hAnsi="Times New Roman" w:eastAsia="宋体"/>
          <w:sz w:val="32"/>
          <w:szCs w:val="32"/>
        </w:rPr>
        <w:t>第</w:t>
      </w:r>
      <w:r>
        <w:rPr>
          <w:rFonts w:hint="eastAsia" w:ascii="Times New Roman" w:hAnsi="Times New Roman" w:eastAsia="宋体"/>
          <w:sz w:val="32"/>
          <w:szCs w:val="32"/>
        </w:rPr>
        <w:t>六</w:t>
      </w:r>
      <w:r>
        <w:rPr>
          <w:rFonts w:ascii="Times New Roman" w:hAnsi="Times New Roman" w:eastAsia="宋体"/>
          <w:sz w:val="32"/>
          <w:szCs w:val="32"/>
        </w:rPr>
        <w:t>章</w:t>
      </w:r>
      <w:r>
        <w:rPr>
          <w:rFonts w:hint="eastAsia" w:ascii="Times New Roman" w:hAnsi="Times New Roman" w:eastAsia="宋体"/>
          <w:sz w:val="32"/>
          <w:szCs w:val="32"/>
        </w:rPr>
        <w:t xml:space="preserve"> 质疑提出和处理</w:t>
      </w:r>
    </w:p>
    <w:p>
      <w:pPr>
        <w:keepNext w:val="0"/>
        <w:keepLines w:val="0"/>
        <w:pageBreakBefore w:val="0"/>
        <w:widowControl w:val="0"/>
        <w:kinsoku/>
        <w:wordWrap/>
        <w:topLinePunct w:val="0"/>
        <w:autoSpaceDE/>
        <w:autoSpaceDN/>
        <w:bidi w:val="0"/>
        <w:spacing w:line="360" w:lineRule="auto"/>
        <w:rPr>
          <w:rFonts w:ascii="Times New Roman" w:hAnsi="Times New Roman" w:eastAsia="宋体"/>
          <w:sz w:val="36"/>
          <w:szCs w:val="36"/>
        </w:rPr>
      </w:pPr>
      <w:r>
        <w:rPr>
          <w:rFonts w:ascii="Times New Roman" w:hAnsi="Times New Roman" w:eastAsia="宋体"/>
          <w:sz w:val="32"/>
          <w:szCs w:val="32"/>
        </w:rPr>
        <w:t>第</w:t>
      </w:r>
      <w:r>
        <w:rPr>
          <w:rFonts w:hint="eastAsia" w:ascii="Times New Roman" w:hAnsi="Times New Roman" w:eastAsia="宋体"/>
          <w:sz w:val="32"/>
          <w:szCs w:val="32"/>
        </w:rPr>
        <w:t>七</w:t>
      </w:r>
      <w:r>
        <w:rPr>
          <w:rFonts w:ascii="Times New Roman" w:hAnsi="Times New Roman" w:eastAsia="宋体"/>
          <w:sz w:val="32"/>
          <w:szCs w:val="32"/>
        </w:rPr>
        <w:t>章</w:t>
      </w:r>
      <w:r>
        <w:rPr>
          <w:rFonts w:hint="eastAsia" w:ascii="Times New Roman" w:hAnsi="Times New Roman" w:eastAsia="宋体"/>
          <w:sz w:val="32"/>
          <w:szCs w:val="32"/>
        </w:rPr>
        <w:t xml:space="preserve"> 响应文件组成及格式</w:t>
      </w:r>
    </w:p>
    <w:p>
      <w:pPr>
        <w:keepNext w:val="0"/>
        <w:keepLines w:val="0"/>
        <w:pageBreakBefore w:val="0"/>
        <w:widowControl w:val="0"/>
        <w:kinsoku/>
        <w:wordWrap/>
        <w:topLinePunct w:val="0"/>
        <w:autoSpaceDE/>
        <w:autoSpaceDN/>
        <w:bidi w:val="0"/>
        <w:spacing w:line="360" w:lineRule="auto"/>
        <w:jc w:val="left"/>
        <w:rPr>
          <w:rFonts w:ascii="Times New Roman" w:hAnsi="Times New Roman" w:eastAsia="宋体"/>
          <w:b/>
          <w:bCs/>
          <w:sz w:val="36"/>
          <w:szCs w:val="36"/>
        </w:rPr>
      </w:pPr>
      <w:r>
        <w:rPr>
          <w:rFonts w:ascii="Times New Roman" w:hAnsi="Times New Roman" w:eastAsia="宋体"/>
          <w:b/>
          <w:bCs/>
          <w:sz w:val="36"/>
          <w:szCs w:val="36"/>
        </w:rPr>
        <w:fldChar w:fldCharType="end"/>
      </w:r>
    </w:p>
    <w:p>
      <w:pPr>
        <w:pStyle w:val="22"/>
        <w:keepNext w:val="0"/>
        <w:keepLines w:val="0"/>
        <w:pageBreakBefore w:val="0"/>
        <w:widowControl w:val="0"/>
        <w:kinsoku/>
        <w:wordWrap/>
        <w:topLinePunct w:val="0"/>
        <w:autoSpaceDE/>
        <w:autoSpaceDN/>
        <w:bidi w:val="0"/>
        <w:spacing w:after="0" w:line="360" w:lineRule="auto"/>
        <w:rPr>
          <w:rFonts w:ascii="Times New Roman" w:hAnsi="Times New Roman" w:eastAsia="宋体"/>
        </w:rPr>
      </w:pPr>
      <w:r>
        <w:rPr>
          <w:rFonts w:ascii="Times New Roman" w:hAnsi="Times New Roman" w:eastAsia="宋体"/>
        </w:rPr>
        <w:br w:type="page"/>
      </w: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b/>
          <w:sz w:val="24"/>
          <w:szCs w:val="24"/>
        </w:rPr>
      </w:pPr>
      <w:r>
        <w:rPr>
          <w:rFonts w:hint="eastAsia" w:ascii="Times New Roman" w:hAnsi="Times New Roman" w:eastAsia="宋体" w:cs="宋体"/>
          <w:b/>
          <w:sz w:val="24"/>
          <w:szCs w:val="24"/>
        </w:rPr>
        <w:t>尊敬的投标供应商：</w:t>
      </w:r>
    </w:p>
    <w:p>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b/>
          <w:sz w:val="24"/>
          <w:szCs w:val="24"/>
        </w:rPr>
      </w:pPr>
      <w:r>
        <w:rPr>
          <w:rFonts w:hint="eastAsia" w:ascii="Times New Roman" w:hAnsi="Times New Roman" w:eastAsia="宋体" w:cs="宋体"/>
          <w:b/>
          <w:sz w:val="24"/>
          <w:szCs w:val="24"/>
        </w:rPr>
        <w:t>欢迎参加本采购项目的竞争性磋商。为了保证本次磋商项目顺利进行，请在制作响应文件之前，仔细阅读本竞争性磋商文件的各项条款，并按要求制作和递交响应文件。谢谢合作！</w:t>
      </w:r>
    </w:p>
    <w:p>
      <w:pPr>
        <w:pStyle w:val="3"/>
        <w:keepNext w:val="0"/>
        <w:keepLines w:val="0"/>
        <w:pageBreakBefore w:val="0"/>
        <w:widowControl w:val="0"/>
        <w:kinsoku/>
        <w:wordWrap/>
        <w:topLinePunct w:val="0"/>
        <w:autoSpaceDE/>
        <w:autoSpaceDN/>
        <w:bidi w:val="0"/>
        <w:spacing w:before="0" w:after="0" w:line="360" w:lineRule="auto"/>
        <w:jc w:val="center"/>
        <w:textAlignment w:val="baseline"/>
        <w:rPr>
          <w:rFonts w:ascii="Times New Roman" w:hAnsi="Times New Roman" w:eastAsia="宋体"/>
          <w:w w:val="80"/>
          <w:sz w:val="48"/>
          <w:szCs w:val="44"/>
        </w:rPr>
      </w:pPr>
      <w:r>
        <w:rPr>
          <w:rFonts w:hint="eastAsia" w:ascii="Times New Roman" w:hAnsi="Times New Roman" w:eastAsia="宋体"/>
          <w:w w:val="80"/>
          <w:sz w:val="48"/>
          <w:szCs w:val="44"/>
        </w:rPr>
        <w:t>第一章 竞争性磋商公告</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topLinePunct w:val="0"/>
        <w:autoSpaceDE/>
        <w:autoSpaceDN/>
        <w:bidi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topLinePunct w:val="0"/>
        <w:autoSpaceDE/>
        <w:autoSpaceDN/>
        <w:bidi w:val="0"/>
        <w:spacing w:line="360" w:lineRule="auto"/>
        <w:ind w:firstLine="480" w:firstLineChars="200"/>
        <w:rPr>
          <w:rFonts w:ascii="Times New Roman" w:hAnsi="Times New Roman" w:eastAsia="宋体" w:cs="宋体"/>
          <w:bCs/>
          <w:sz w:val="24"/>
          <w:szCs w:val="24"/>
          <w:highlight w:val="none"/>
          <w:u w:val="single"/>
        </w:rPr>
      </w:pPr>
      <w:r>
        <w:rPr>
          <w:rFonts w:hint="eastAsia" w:ascii="Times New Roman" w:hAnsi="Times New Roman" w:eastAsia="宋体" w:cs="Times New Roman"/>
          <w:sz w:val="24"/>
          <w:szCs w:val="24"/>
          <w:lang w:eastAsia="zh-CN"/>
        </w:rPr>
        <w:t>南通市第三人民医院多学科会诊平台项目</w:t>
      </w:r>
      <w:r>
        <w:rPr>
          <w:rFonts w:hint="eastAsia" w:ascii="Times New Roman" w:hAnsi="Times New Roman" w:eastAsia="宋体" w:cs="Times New Roman"/>
          <w:sz w:val="24"/>
          <w:szCs w:val="24"/>
        </w:rPr>
        <w:t>的潜在供应商应在南通市第三人民医院官网获取采购文件，并于</w:t>
      </w:r>
      <w:r>
        <w:rPr>
          <w:rFonts w:hint="eastAsia" w:ascii="Times New Roman" w:hAnsi="Times New Roman" w:eastAsia="宋体" w:cs="宋体"/>
          <w:sz w:val="24"/>
          <w:szCs w:val="24"/>
          <w:highlight w:val="none"/>
          <w:u w:val="single"/>
        </w:rPr>
        <w:t>20</w:t>
      </w:r>
      <w:r>
        <w:rPr>
          <w:rFonts w:hint="eastAsia" w:ascii="Times New Roman" w:hAnsi="Times New Roman" w:eastAsia="宋体" w:cs="宋体"/>
          <w:sz w:val="24"/>
          <w:szCs w:val="24"/>
          <w:highlight w:val="none"/>
          <w:u w:val="single"/>
          <w:lang w:val="en-US" w:eastAsia="zh-CN"/>
        </w:rPr>
        <w:t>24</w:t>
      </w:r>
      <w:r>
        <w:rPr>
          <w:rFonts w:hint="eastAsia" w:ascii="Times New Roman" w:hAnsi="Times New Roman" w:eastAsia="宋体" w:cs="宋体"/>
          <w:bCs/>
          <w:sz w:val="24"/>
          <w:szCs w:val="24"/>
          <w:highlight w:val="none"/>
          <w:u w:val="single"/>
        </w:rPr>
        <w:t>年</w:t>
      </w:r>
      <w:r>
        <w:rPr>
          <w:rFonts w:hint="eastAsia" w:ascii="Times New Roman" w:hAnsi="Times New Roman" w:eastAsia="宋体" w:cs="宋体"/>
          <w:bCs/>
          <w:sz w:val="24"/>
          <w:szCs w:val="24"/>
          <w:highlight w:val="none"/>
          <w:u w:val="single"/>
          <w:lang w:val="en-US" w:eastAsia="zh-CN"/>
        </w:rPr>
        <w:t>1</w:t>
      </w:r>
      <w:r>
        <w:rPr>
          <w:rFonts w:hint="eastAsia" w:ascii="Times New Roman" w:hAnsi="Times New Roman" w:eastAsia="宋体" w:cs="宋体"/>
          <w:bCs/>
          <w:sz w:val="24"/>
          <w:szCs w:val="24"/>
          <w:highlight w:val="none"/>
          <w:u w:val="single"/>
        </w:rPr>
        <w:t>月</w:t>
      </w:r>
      <w:r>
        <w:rPr>
          <w:rFonts w:hint="eastAsia" w:ascii="Times New Roman" w:hAnsi="Times New Roman" w:eastAsia="宋体" w:cs="宋体"/>
          <w:bCs/>
          <w:sz w:val="24"/>
          <w:szCs w:val="24"/>
          <w:highlight w:val="none"/>
          <w:u w:val="single"/>
          <w:lang w:val="en-US" w:eastAsia="zh-CN"/>
        </w:rPr>
        <w:t>11</w:t>
      </w:r>
      <w:r>
        <w:rPr>
          <w:rFonts w:hint="eastAsia" w:ascii="Times New Roman" w:hAnsi="Times New Roman" w:eastAsia="宋体" w:cs="宋体"/>
          <w:bCs/>
          <w:sz w:val="24"/>
          <w:szCs w:val="24"/>
          <w:highlight w:val="none"/>
          <w:u w:val="single"/>
        </w:rPr>
        <w:t>日1</w:t>
      </w:r>
      <w:r>
        <w:rPr>
          <w:rFonts w:hint="eastAsia" w:ascii="Times New Roman" w:hAnsi="Times New Roman" w:eastAsia="宋体" w:cs="宋体"/>
          <w:bCs/>
          <w:sz w:val="24"/>
          <w:szCs w:val="24"/>
          <w:highlight w:val="none"/>
          <w:u w:val="single"/>
          <w:lang w:val="en-US" w:eastAsia="zh-CN"/>
        </w:rPr>
        <w:t>4</w:t>
      </w:r>
      <w:r>
        <w:rPr>
          <w:rFonts w:hint="eastAsia" w:ascii="Times New Roman" w:hAnsi="Times New Roman" w:eastAsia="宋体" w:cs="宋体"/>
          <w:bCs/>
          <w:sz w:val="24"/>
          <w:szCs w:val="24"/>
          <w:highlight w:val="none"/>
          <w:u w:val="single"/>
        </w:rPr>
        <w:t>时00分</w:t>
      </w:r>
      <w:r>
        <w:rPr>
          <w:rFonts w:hint="eastAsia" w:ascii="Times New Roman" w:hAnsi="Times New Roman" w:eastAsia="宋体" w:cs="宋体"/>
          <w:bCs/>
          <w:sz w:val="24"/>
          <w:szCs w:val="24"/>
          <w:highlight w:val="none"/>
        </w:rPr>
        <w:t>（北京时间）</w:t>
      </w:r>
      <w:r>
        <w:rPr>
          <w:rFonts w:hint="eastAsia" w:ascii="Times New Roman" w:hAnsi="Times New Roman" w:eastAsia="宋体" w:cs="Times New Roman"/>
          <w:sz w:val="24"/>
          <w:szCs w:val="24"/>
          <w:highlight w:val="none"/>
        </w:rPr>
        <w:t>前提交响应文件。</w:t>
      </w:r>
    </w:p>
    <w:p>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b/>
          <w:kern w:val="0"/>
          <w:sz w:val="24"/>
          <w:szCs w:val="24"/>
          <w:highlight w:val="none"/>
        </w:rPr>
      </w:pPr>
      <w:r>
        <w:rPr>
          <w:rFonts w:hint="eastAsia" w:ascii="Times New Roman" w:hAnsi="Times New Roman" w:eastAsia="宋体" w:cs="宋体"/>
          <w:b/>
          <w:kern w:val="0"/>
          <w:sz w:val="24"/>
          <w:szCs w:val="24"/>
          <w:highlight w:val="none"/>
        </w:rPr>
        <w:t>一、项目基本情况</w:t>
      </w:r>
    </w:p>
    <w:p>
      <w:pPr>
        <w:keepNext w:val="0"/>
        <w:keepLines w:val="0"/>
        <w:pageBreakBefore w:val="0"/>
        <w:widowControl w:val="0"/>
        <w:kinsoku/>
        <w:wordWrap/>
        <w:topLinePunct w:val="0"/>
        <w:autoSpaceDE/>
        <w:autoSpaceDN/>
        <w:bidi w:val="0"/>
        <w:spacing w:line="360" w:lineRule="auto"/>
        <w:ind w:firstLine="480" w:firstLineChars="200"/>
        <w:rPr>
          <w:rFonts w:hint="default"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rPr>
        <w:t>1、项目编号：</w:t>
      </w:r>
      <w:r>
        <w:rPr>
          <w:rFonts w:hint="eastAsia" w:ascii="Times New Roman" w:hAnsi="Times New Roman" w:eastAsia="宋体" w:cs="宋体"/>
          <w:sz w:val="24"/>
          <w:szCs w:val="24"/>
          <w:highlight w:val="none"/>
          <w:lang w:val="en-US" w:eastAsia="zh-CN"/>
        </w:rPr>
        <w:t>SY-HXTDHZ1226001</w:t>
      </w:r>
    </w:p>
    <w:p>
      <w:pPr>
        <w:keepNext w:val="0"/>
        <w:keepLines w:val="0"/>
        <w:pageBreakBefore w:val="0"/>
        <w:widowControl w:val="0"/>
        <w:kinsoku/>
        <w:wordWrap/>
        <w:topLinePunct w:val="0"/>
        <w:autoSpaceDE/>
        <w:autoSpaceDN/>
        <w:bidi w:val="0"/>
        <w:spacing w:line="360" w:lineRule="auto"/>
        <w:ind w:firstLine="480" w:firstLineChars="200"/>
        <w:rPr>
          <w:rFonts w:hint="eastAsia" w:ascii="Times New Roman" w:hAnsi="Times New Roman" w:eastAsia="宋体" w:cs="宋体"/>
          <w:sz w:val="24"/>
          <w:szCs w:val="24"/>
          <w:highlight w:val="none"/>
          <w:lang w:eastAsia="zh-CN"/>
        </w:rPr>
      </w:pPr>
      <w:r>
        <w:rPr>
          <w:rFonts w:hint="eastAsia" w:ascii="Times New Roman" w:hAnsi="Times New Roman" w:eastAsia="宋体" w:cs="宋体"/>
          <w:sz w:val="24"/>
          <w:szCs w:val="24"/>
          <w:highlight w:val="none"/>
        </w:rPr>
        <w:t>2、项目名称：</w:t>
      </w:r>
      <w:r>
        <w:rPr>
          <w:rFonts w:hint="eastAsia" w:ascii="Times New Roman" w:hAnsi="Times New Roman" w:eastAsia="宋体" w:cs="Times New Roman"/>
          <w:sz w:val="24"/>
          <w:szCs w:val="24"/>
          <w:highlight w:val="none"/>
          <w:lang w:eastAsia="zh-CN"/>
        </w:rPr>
        <w:t>南通市第三人民医院多学科会诊平台项目</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 xml:space="preserve">3、采购人式：□竞争性谈判 </w:t>
      </w:r>
      <w:r>
        <w:rPr>
          <w:rFonts w:hint="eastAsia" w:ascii="Times New Roman" w:hAnsi="Times New Roman" w:eastAsia="MS Mincho" w:cs="MS Mincho"/>
          <w:sz w:val="24"/>
          <w:szCs w:val="24"/>
          <w:highlight w:val="none"/>
        </w:rPr>
        <w:t>☑</w:t>
      </w:r>
      <w:r>
        <w:rPr>
          <w:rFonts w:hint="eastAsia" w:ascii="Times New Roman" w:hAnsi="Times New Roman" w:eastAsia="宋体" w:cs="宋体"/>
          <w:sz w:val="24"/>
          <w:szCs w:val="24"/>
          <w:highlight w:val="none"/>
        </w:rPr>
        <w:t>竞争性磋商 □询价</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4、预算金额：约</w:t>
      </w:r>
      <w:r>
        <w:rPr>
          <w:rFonts w:hint="eastAsia" w:ascii="Times New Roman" w:hAnsi="Times New Roman" w:eastAsia="宋体" w:cs="宋体"/>
          <w:sz w:val="24"/>
          <w:szCs w:val="24"/>
          <w:highlight w:val="none"/>
          <w:u w:val="none"/>
          <w:lang w:val="en-US" w:eastAsia="zh-CN"/>
        </w:rPr>
        <w:t>45</w:t>
      </w:r>
      <w:r>
        <w:rPr>
          <w:rFonts w:hint="eastAsia" w:ascii="Times New Roman" w:hAnsi="Times New Roman" w:eastAsia="宋体" w:cs="宋体"/>
          <w:sz w:val="24"/>
          <w:szCs w:val="24"/>
          <w:highlight w:val="none"/>
        </w:rPr>
        <w:t>万元</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szCs w:val="24"/>
          <w:highlight w:val="none"/>
          <w:u w:val="single"/>
        </w:rPr>
      </w:pPr>
      <w:r>
        <w:rPr>
          <w:rFonts w:hint="eastAsia" w:ascii="Times New Roman" w:hAnsi="Times New Roman" w:eastAsia="宋体" w:cs="宋体"/>
          <w:sz w:val="24"/>
          <w:szCs w:val="24"/>
          <w:highlight w:val="none"/>
        </w:rPr>
        <w:t>5、</w:t>
      </w:r>
      <w:r>
        <w:rPr>
          <w:rFonts w:hint="eastAsia" w:ascii="Times New Roman" w:hAnsi="Times New Roman" w:eastAsia="宋体" w:cs="宋体"/>
          <w:b/>
          <w:bCs/>
          <w:sz w:val="24"/>
          <w:szCs w:val="24"/>
          <w:highlight w:val="none"/>
        </w:rPr>
        <w:t>最高限价：</w:t>
      </w:r>
      <w:r>
        <w:rPr>
          <w:rFonts w:hint="eastAsia" w:ascii="Times New Roman" w:hAnsi="Times New Roman" w:eastAsia="宋体" w:cs="宋体"/>
          <w:b/>
          <w:bCs/>
          <w:sz w:val="24"/>
          <w:szCs w:val="24"/>
          <w:highlight w:val="none"/>
          <w:u w:val="none"/>
          <w:lang w:val="en-US" w:eastAsia="zh-CN"/>
        </w:rPr>
        <w:t>45</w:t>
      </w:r>
      <w:r>
        <w:rPr>
          <w:rFonts w:hint="eastAsia" w:ascii="Times New Roman" w:hAnsi="Times New Roman" w:eastAsia="宋体" w:cs="宋体"/>
          <w:b/>
          <w:bCs/>
          <w:sz w:val="24"/>
          <w:szCs w:val="24"/>
          <w:highlight w:val="none"/>
          <w:u w:val="none"/>
        </w:rPr>
        <w:t>万</w:t>
      </w:r>
      <w:r>
        <w:rPr>
          <w:rFonts w:hint="eastAsia" w:ascii="Times New Roman" w:hAnsi="Times New Roman" w:eastAsia="宋体" w:cs="宋体"/>
          <w:b/>
          <w:bCs/>
          <w:sz w:val="24"/>
          <w:szCs w:val="24"/>
          <w:highlight w:val="none"/>
        </w:rPr>
        <w:t>元</w:t>
      </w:r>
      <w:r>
        <w:rPr>
          <w:rFonts w:hint="eastAsia" w:ascii="Times New Roman" w:hAnsi="Times New Roman" w:eastAsia="宋体" w:cs="仿宋"/>
          <w:b/>
          <w:bCs/>
          <w:sz w:val="24"/>
          <w:szCs w:val="20"/>
          <w:highlight w:val="none"/>
        </w:rPr>
        <w:t>，报价超过最高限价的为无效响应文件；</w:t>
      </w:r>
    </w:p>
    <w:p>
      <w:pPr>
        <w:keepNext w:val="0"/>
        <w:keepLines w:val="0"/>
        <w:pageBreakBefore w:val="0"/>
        <w:widowControl w:val="0"/>
        <w:kinsoku/>
        <w:wordWrap/>
        <w:topLinePunct w:val="0"/>
        <w:autoSpaceDE/>
        <w:autoSpaceDN/>
        <w:bidi w:val="0"/>
        <w:spacing w:line="360" w:lineRule="auto"/>
        <w:ind w:firstLine="480" w:firstLineChars="200"/>
        <w:rPr>
          <w:rFonts w:hint="eastAsia" w:ascii="Times New Roman" w:hAnsi="Times New Roman" w:eastAsia="宋体" w:cs="宋体"/>
          <w:sz w:val="24"/>
          <w:szCs w:val="24"/>
          <w:highlight w:val="none"/>
        </w:rPr>
      </w:pPr>
      <w:r>
        <w:rPr>
          <w:rFonts w:hint="eastAsia" w:ascii="Times New Roman" w:hAnsi="Times New Roman" w:eastAsia="宋体" w:cs="宋体"/>
          <w:sz w:val="24"/>
          <w:szCs w:val="24"/>
          <w:highlight w:val="none"/>
        </w:rPr>
        <w:t>6、采购需求：</w:t>
      </w:r>
      <w:r>
        <w:rPr>
          <w:rFonts w:hint="eastAsia" w:ascii="Times New Roman" w:hAnsi="Times New Roman" w:eastAsia="宋体" w:cs="宋体"/>
          <w:sz w:val="24"/>
          <w:szCs w:val="24"/>
          <w:highlight w:val="none"/>
          <w:lang w:eastAsia="zh-CN"/>
        </w:rPr>
        <w:t>为第三人民医院采购一套MDT多学科会诊系统，</w:t>
      </w:r>
      <w:r>
        <w:rPr>
          <w:rFonts w:hint="eastAsia" w:ascii="Times New Roman" w:hAnsi="Times New Roman" w:eastAsia="宋体" w:cs="宋体"/>
          <w:sz w:val="24"/>
          <w:szCs w:val="24"/>
          <w:highlight w:val="none"/>
        </w:rPr>
        <w:t>具体内容详见竞争性磋商文件第三章项目需求。</w:t>
      </w:r>
    </w:p>
    <w:p>
      <w:pPr>
        <w:keepNext w:val="0"/>
        <w:keepLines w:val="0"/>
        <w:pageBreakBefore w:val="0"/>
        <w:widowControl w:val="0"/>
        <w:kinsoku/>
        <w:wordWrap/>
        <w:topLinePunct w:val="0"/>
        <w:autoSpaceDE/>
        <w:autoSpaceDN/>
        <w:bidi w:val="0"/>
        <w:spacing w:line="360" w:lineRule="auto"/>
        <w:ind w:firstLine="480" w:firstLineChars="200"/>
        <w:rPr>
          <w:rFonts w:hint="eastAsia" w:ascii="Times New Roman" w:hAnsi="Times New Roman" w:eastAsia="宋体" w:cs="宋体"/>
          <w:sz w:val="24"/>
          <w:szCs w:val="24"/>
          <w:highlight w:val="none"/>
          <w:lang w:val="zh-CN" w:eastAsia="zh-CN"/>
        </w:rPr>
      </w:pPr>
      <w:r>
        <w:rPr>
          <w:rFonts w:hint="eastAsia" w:ascii="Times New Roman" w:hAnsi="Times New Roman" w:eastAsia="宋体" w:cs="宋体"/>
          <w:sz w:val="24"/>
          <w:szCs w:val="24"/>
          <w:highlight w:val="none"/>
        </w:rPr>
        <w:t>7、交货期：自合同签署生效之日起60个工作日内，完成系统上线并试运行。</w:t>
      </w:r>
    </w:p>
    <w:p>
      <w:pPr>
        <w:keepNext w:val="0"/>
        <w:keepLines w:val="0"/>
        <w:pageBreakBefore w:val="0"/>
        <w:widowControl w:val="0"/>
        <w:kinsoku/>
        <w:wordWrap/>
        <w:topLinePunct w:val="0"/>
        <w:autoSpaceDE/>
        <w:autoSpaceDN/>
        <w:bidi w:val="0"/>
        <w:spacing w:line="360" w:lineRule="auto"/>
        <w:ind w:firstLine="480" w:firstLineChars="200"/>
        <w:rPr>
          <w:rFonts w:hint="eastAsia" w:ascii="Times New Roman" w:hAnsi="Times New Roman" w:eastAsia="宋体" w:cs="宋体"/>
          <w:sz w:val="24"/>
          <w:szCs w:val="24"/>
          <w:highlight w:val="none"/>
        </w:rPr>
      </w:pPr>
      <w:r>
        <w:rPr>
          <w:rFonts w:hint="eastAsia" w:ascii="Times New Roman" w:hAnsi="Times New Roman" w:eastAsia="宋体" w:cs="宋体"/>
          <w:sz w:val="24"/>
          <w:szCs w:val="24"/>
          <w:highlight w:val="none"/>
        </w:rPr>
        <w:t>8、本项目不接受联合体。</w:t>
      </w:r>
    </w:p>
    <w:p>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b/>
          <w:sz w:val="24"/>
          <w:szCs w:val="24"/>
        </w:rPr>
      </w:pPr>
      <w:r>
        <w:rPr>
          <w:rFonts w:hint="eastAsia" w:ascii="Times New Roman" w:hAnsi="Times New Roman" w:eastAsia="宋体"/>
          <w:b/>
          <w:sz w:val="24"/>
          <w:szCs w:val="24"/>
        </w:rPr>
        <w:t>二、申请人的资格要求</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1、符合《中华人民共和国政府采购法》第二十二条规定，并提供声明函：</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（1）具有独立承担民事责任的能力；</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（2）具有良好的商业信誉和健全的财务会计制度；</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（3）具有履行合同所必需的设备和专业技术能力；</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（4）有依法缴纳税收和社会保障资金的良好记录；</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（5）参加政府采购活动前三年内，在经营活动中没有重大违法记录；</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（6）法律、行政法规规定的其他条件。</w:t>
      </w:r>
    </w:p>
    <w:p>
      <w:pPr>
        <w:keepNext w:val="0"/>
        <w:keepLines w:val="0"/>
        <w:pageBreakBefore w:val="0"/>
        <w:widowControl w:val="0"/>
        <w:kinsoku/>
        <w:wordWrap/>
        <w:topLinePunct w:val="0"/>
        <w:autoSpaceDE/>
        <w:autoSpaceDN/>
        <w:bidi w:val="0"/>
        <w:spacing w:line="360" w:lineRule="auto"/>
        <w:ind w:firstLine="482"/>
        <w:rPr>
          <w:rFonts w:hint="eastAsia" w:ascii="Times New Roman" w:hAnsi="Times New Roman" w:eastAsia="宋体" w:cs="宋体"/>
          <w:sz w:val="24"/>
          <w:szCs w:val="24"/>
          <w:lang w:eastAsia="zh-CN"/>
        </w:rPr>
      </w:pPr>
      <w:r>
        <w:rPr>
          <w:rFonts w:hint="eastAsia" w:ascii="Times New Roman" w:hAnsi="Times New Roman" w:eastAsia="宋体" w:cs="宋体"/>
          <w:sz w:val="24"/>
          <w:szCs w:val="24"/>
        </w:rPr>
        <w:t>2、落实政府采购政策需满足的资格要求：</w:t>
      </w:r>
      <w:r>
        <w:rPr>
          <w:rFonts w:hint="eastAsia" w:ascii="Times New Roman" w:hAnsi="Times New Roman" w:eastAsia="宋体" w:cs="宋体"/>
          <w:sz w:val="24"/>
          <w:szCs w:val="24"/>
          <w:u w:val="single"/>
          <w:lang w:eastAsia="zh-CN"/>
        </w:rPr>
        <w:t>无</w:t>
      </w:r>
      <w:r>
        <w:rPr>
          <w:rFonts w:hint="eastAsia" w:ascii="Times New Roman" w:hAnsi="Times New Roman" w:eastAsia="宋体" w:cs="宋体"/>
          <w:sz w:val="24"/>
          <w:szCs w:val="24"/>
          <w:u w:val="single"/>
          <w:lang w:val="en-US" w:eastAsia="zh-CN"/>
        </w:rPr>
        <w:t xml:space="preserve"> </w:t>
      </w:r>
      <w:r>
        <w:rPr>
          <w:rFonts w:hint="eastAsia" w:ascii="Times New Roman" w:hAnsi="Times New Roman" w:eastAsia="宋体" w:cs="宋体"/>
          <w:sz w:val="24"/>
          <w:szCs w:val="24"/>
          <w:lang w:eastAsia="zh-CN"/>
        </w:rPr>
        <w:t>。</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3、本项目的特定资格要求：</w:t>
      </w:r>
    </w:p>
    <w:p>
      <w:pPr>
        <w:keepNext w:val="0"/>
        <w:keepLines w:val="0"/>
        <w:pageBreakBefore w:val="0"/>
        <w:widowControl w:val="0"/>
        <w:numPr>
          <w:ilvl w:val="0"/>
          <w:numId w:val="0"/>
        </w:numPr>
        <w:kinsoku/>
        <w:wordWrap/>
        <w:topLinePunct w:val="0"/>
        <w:autoSpaceDE/>
        <w:autoSpaceDN/>
        <w:bidi w:val="0"/>
        <w:snapToGrid w:val="0"/>
        <w:spacing w:line="360" w:lineRule="auto"/>
        <w:ind w:firstLine="480" w:firstLineChars="200"/>
        <w:rPr>
          <w:rFonts w:ascii="Times New Roman" w:hAnsi="Times New Roman" w:eastAsia="宋体"/>
          <w:color w:val="000000"/>
          <w:sz w:val="24"/>
          <w:szCs w:val="24"/>
        </w:rPr>
      </w:pPr>
      <w:r>
        <w:rPr>
          <w:rFonts w:hint="eastAsia" w:ascii="Times New Roman" w:hAnsi="Times New Roman" w:eastAsia="宋体"/>
          <w:color w:val="000000"/>
          <w:sz w:val="24"/>
          <w:szCs w:val="24"/>
        </w:rPr>
        <w:t>（1）提供</w:t>
      </w:r>
      <w:r>
        <w:rPr>
          <w:rFonts w:hint="eastAsia" w:ascii="Times New Roman" w:hAnsi="Times New Roman" w:eastAsia="宋体"/>
          <w:color w:val="000000"/>
          <w:sz w:val="24"/>
          <w:szCs w:val="24"/>
          <w:lang w:eastAsia="zh-CN"/>
        </w:rPr>
        <w:t>响应</w:t>
      </w:r>
      <w:r>
        <w:rPr>
          <w:rFonts w:hint="eastAsia" w:ascii="Times New Roman" w:hAnsi="Times New Roman" w:eastAsia="宋体"/>
          <w:color w:val="000000"/>
          <w:sz w:val="24"/>
          <w:szCs w:val="24"/>
        </w:rPr>
        <w:t>供应商企业法人营业执照（副本）及税务登记证（副本）的复印件；或者是三证合一的营业执照（副本）的复印件；</w:t>
      </w:r>
    </w:p>
    <w:p>
      <w:pPr>
        <w:keepNext w:val="0"/>
        <w:keepLines w:val="0"/>
        <w:pageBreakBefore w:val="0"/>
        <w:widowControl w:val="0"/>
        <w:kinsoku/>
        <w:wordWrap/>
        <w:topLinePunct w:val="0"/>
        <w:autoSpaceDE/>
        <w:autoSpaceDN/>
        <w:bidi w:val="0"/>
        <w:spacing w:line="360" w:lineRule="auto"/>
        <w:ind w:firstLine="480" w:firstLineChars="200"/>
        <w:rPr>
          <w:rFonts w:hint="eastAsia" w:ascii="Times New Roman" w:hAnsi="Times New Roman" w:eastAsia="宋体"/>
          <w:color w:val="000000"/>
          <w:sz w:val="24"/>
          <w:szCs w:val="24"/>
        </w:rPr>
      </w:pPr>
      <w:r>
        <w:rPr>
          <w:rFonts w:hint="eastAsia" w:ascii="Times New Roman" w:hAnsi="Times New Roman" w:eastAsia="宋体"/>
          <w:color w:val="000000"/>
          <w:sz w:val="24"/>
          <w:szCs w:val="24"/>
        </w:rPr>
        <w:t>（2）法定代表人参加</w:t>
      </w:r>
      <w:r>
        <w:rPr>
          <w:rFonts w:hint="eastAsia" w:ascii="Times New Roman" w:hAnsi="Times New Roman" w:eastAsia="宋体"/>
          <w:color w:val="000000"/>
          <w:sz w:val="24"/>
          <w:szCs w:val="24"/>
          <w:lang w:eastAsia="zh-CN"/>
        </w:rPr>
        <w:t>磋商</w:t>
      </w:r>
      <w:r>
        <w:rPr>
          <w:rFonts w:hint="eastAsia" w:ascii="Times New Roman" w:hAnsi="Times New Roman" w:eastAsia="宋体"/>
          <w:color w:val="000000"/>
          <w:sz w:val="24"/>
          <w:szCs w:val="24"/>
        </w:rPr>
        <w:t>的，必须提供法定代表人身份证明及法定代表人本人身份证两项复印件（须加盖单位公章）；非法定代表人参加</w:t>
      </w:r>
      <w:r>
        <w:rPr>
          <w:rFonts w:hint="eastAsia" w:ascii="Times New Roman" w:hAnsi="Times New Roman" w:eastAsia="宋体"/>
          <w:color w:val="000000"/>
          <w:sz w:val="24"/>
          <w:szCs w:val="24"/>
          <w:lang w:eastAsia="zh-CN"/>
        </w:rPr>
        <w:t>磋商</w:t>
      </w:r>
      <w:r>
        <w:rPr>
          <w:rFonts w:hint="eastAsia" w:ascii="Times New Roman" w:hAnsi="Times New Roman" w:eastAsia="宋体"/>
          <w:color w:val="000000"/>
          <w:sz w:val="24"/>
          <w:szCs w:val="24"/>
        </w:rPr>
        <w:t>的，必须提供法定代表人签字或印章的授权委托书及被授权人本人身份证两项复印件；（须加盖单位公章）</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4、未被</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信用中国</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网站（www.creditchina.gov.cn）列入失信被执行人、重大税收违法案件当事人名单、政府采购严重失信行为记录名单；</w:t>
      </w:r>
    </w:p>
    <w:p>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b/>
          <w:sz w:val="24"/>
          <w:szCs w:val="24"/>
          <w:lang w:val="zh-CN"/>
        </w:rPr>
      </w:pPr>
      <w:r>
        <w:rPr>
          <w:rFonts w:hint="eastAsia" w:ascii="Times New Roman" w:hAnsi="Times New Roman" w:eastAsia="宋体"/>
          <w:b/>
          <w:sz w:val="24"/>
          <w:szCs w:val="24"/>
          <w:lang w:val="zh-CN"/>
        </w:rPr>
        <w:t>具体资格要求详见第</w:t>
      </w:r>
      <w:r>
        <w:rPr>
          <w:rFonts w:hint="eastAsia" w:ascii="Times New Roman" w:hAnsi="Times New Roman" w:eastAsia="宋体"/>
          <w:b/>
          <w:sz w:val="24"/>
          <w:szCs w:val="24"/>
        </w:rPr>
        <w:t>七</w:t>
      </w:r>
      <w:r>
        <w:rPr>
          <w:rFonts w:hint="eastAsia" w:ascii="Times New Roman" w:hAnsi="Times New Roman" w:eastAsia="宋体"/>
          <w:b/>
          <w:sz w:val="24"/>
          <w:szCs w:val="24"/>
          <w:lang w:val="zh-CN"/>
        </w:rPr>
        <w:t>章中的“资格审查文件”。</w:t>
      </w:r>
    </w:p>
    <w:p>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b/>
          <w:kern w:val="0"/>
          <w:sz w:val="24"/>
          <w:szCs w:val="24"/>
          <w:highlight w:val="none"/>
        </w:rPr>
      </w:pPr>
      <w:bookmarkStart w:id="0" w:name="_Toc35393792"/>
      <w:bookmarkStart w:id="1" w:name="_Toc35393623"/>
      <w:r>
        <w:rPr>
          <w:rFonts w:hint="eastAsia" w:ascii="Times New Roman" w:hAnsi="Times New Roman" w:eastAsia="宋体" w:cs="宋体"/>
          <w:b/>
          <w:kern w:val="0"/>
          <w:sz w:val="24"/>
          <w:szCs w:val="24"/>
        </w:rPr>
        <w:t>三、获取采购文件</w:t>
      </w:r>
      <w:bookmarkEnd w:id="0"/>
      <w:bookmarkEnd w:id="1"/>
      <w:r>
        <w:rPr>
          <w:rFonts w:hint="eastAsia" w:ascii="Times New Roman" w:hAnsi="Times New Roman" w:eastAsia="宋体" w:cs="宋体"/>
          <w:b/>
          <w:kern w:val="0"/>
          <w:sz w:val="24"/>
          <w:szCs w:val="24"/>
        </w:rPr>
        <w:t>及投标</w:t>
      </w:r>
      <w:r>
        <w:rPr>
          <w:rFonts w:hint="eastAsia" w:ascii="Times New Roman" w:hAnsi="Times New Roman" w:eastAsia="宋体" w:cs="宋体"/>
          <w:b/>
          <w:kern w:val="0"/>
          <w:sz w:val="24"/>
          <w:szCs w:val="24"/>
          <w:highlight w:val="none"/>
        </w:rPr>
        <w:t>报名</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szCs w:val="24"/>
          <w:highlight w:val="none"/>
        </w:rPr>
      </w:pPr>
      <w:bookmarkStart w:id="2" w:name="_Toc35393793"/>
      <w:bookmarkStart w:id="3" w:name="_Toc28359005"/>
      <w:bookmarkStart w:id="4" w:name="_Toc35393624"/>
      <w:bookmarkStart w:id="5" w:name="_Toc28359082"/>
      <w:r>
        <w:rPr>
          <w:rFonts w:hint="eastAsia" w:ascii="Times New Roman" w:hAnsi="Times New Roman" w:eastAsia="宋体" w:cs="宋体"/>
          <w:sz w:val="24"/>
          <w:szCs w:val="24"/>
          <w:highlight w:val="none"/>
        </w:rPr>
        <w:t>1、时间：</w:t>
      </w:r>
      <w:r>
        <w:rPr>
          <w:rFonts w:hint="eastAsia" w:ascii="Times New Roman" w:hAnsi="Times New Roman" w:eastAsia="宋体" w:cs="宋体"/>
          <w:sz w:val="24"/>
          <w:szCs w:val="24"/>
          <w:highlight w:val="none"/>
          <w:u w:val="single"/>
        </w:rPr>
        <w:t>自本磋商公告发布之日起至202</w:t>
      </w:r>
      <w:r>
        <w:rPr>
          <w:rFonts w:hint="eastAsia" w:ascii="Times New Roman" w:hAnsi="Times New Roman" w:eastAsia="宋体" w:cs="宋体"/>
          <w:sz w:val="24"/>
          <w:szCs w:val="24"/>
          <w:highlight w:val="none"/>
          <w:u w:val="single"/>
          <w:lang w:val="en-US" w:eastAsia="zh-CN"/>
        </w:rPr>
        <w:t>4</w:t>
      </w:r>
      <w:r>
        <w:rPr>
          <w:rFonts w:hint="eastAsia" w:ascii="Times New Roman" w:hAnsi="Times New Roman" w:eastAsia="宋体" w:cs="宋体"/>
          <w:bCs/>
          <w:sz w:val="24"/>
          <w:szCs w:val="24"/>
          <w:highlight w:val="none"/>
          <w:u w:val="single"/>
        </w:rPr>
        <w:t>年</w:t>
      </w:r>
      <w:r>
        <w:rPr>
          <w:rFonts w:hint="eastAsia" w:ascii="Times New Roman" w:hAnsi="Times New Roman" w:eastAsia="宋体" w:cs="宋体"/>
          <w:bCs/>
          <w:sz w:val="24"/>
          <w:szCs w:val="24"/>
          <w:highlight w:val="none"/>
          <w:u w:val="single"/>
          <w:lang w:val="en-US" w:eastAsia="zh-CN"/>
        </w:rPr>
        <w:t>1</w:t>
      </w:r>
      <w:r>
        <w:rPr>
          <w:rFonts w:hint="eastAsia" w:ascii="Times New Roman" w:hAnsi="Times New Roman" w:eastAsia="宋体" w:cs="宋体"/>
          <w:bCs/>
          <w:sz w:val="24"/>
          <w:szCs w:val="24"/>
          <w:highlight w:val="none"/>
          <w:u w:val="single"/>
        </w:rPr>
        <w:t>月</w:t>
      </w:r>
      <w:r>
        <w:rPr>
          <w:rFonts w:hint="eastAsia" w:ascii="Times New Roman" w:hAnsi="Times New Roman" w:eastAsia="宋体" w:cs="宋体"/>
          <w:bCs/>
          <w:sz w:val="24"/>
          <w:szCs w:val="24"/>
          <w:highlight w:val="none"/>
          <w:u w:val="single"/>
          <w:lang w:val="en-US" w:eastAsia="zh-CN"/>
        </w:rPr>
        <w:t>11</w:t>
      </w:r>
      <w:r>
        <w:rPr>
          <w:rFonts w:hint="eastAsia" w:ascii="Times New Roman" w:hAnsi="Times New Roman" w:eastAsia="宋体" w:cs="宋体"/>
          <w:bCs/>
          <w:sz w:val="24"/>
          <w:szCs w:val="24"/>
          <w:highlight w:val="none"/>
          <w:u w:val="single"/>
        </w:rPr>
        <w:t>日</w:t>
      </w:r>
      <w:r>
        <w:rPr>
          <w:rFonts w:hint="eastAsia" w:ascii="Times New Roman" w:hAnsi="Times New Roman" w:eastAsia="宋体" w:cs="宋体"/>
          <w:bCs/>
          <w:sz w:val="24"/>
          <w:szCs w:val="24"/>
          <w:highlight w:val="none"/>
          <w:u w:val="single"/>
          <w:lang w:val="en-US" w:eastAsia="zh-CN"/>
        </w:rPr>
        <w:t>14</w:t>
      </w:r>
      <w:r>
        <w:rPr>
          <w:rFonts w:hint="eastAsia" w:ascii="Times New Roman" w:hAnsi="Times New Roman" w:eastAsia="宋体" w:cs="宋体"/>
          <w:bCs/>
          <w:sz w:val="24"/>
          <w:szCs w:val="24"/>
          <w:highlight w:val="none"/>
          <w:u w:val="single"/>
        </w:rPr>
        <w:t>时00分</w:t>
      </w:r>
      <w:r>
        <w:rPr>
          <w:rFonts w:hint="eastAsia" w:ascii="Times New Roman" w:hAnsi="Times New Roman" w:eastAsia="宋体" w:cs="宋体"/>
          <w:sz w:val="24"/>
          <w:szCs w:val="24"/>
          <w:highlight w:val="none"/>
        </w:rPr>
        <w:t>（北京时间）。</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2、方式：在南通市第三人民医院官网（http://www.ntdsyy.com/）自行下载采购文件。</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3、售价：300元/份，</w:t>
      </w:r>
      <w:r>
        <w:rPr>
          <w:rFonts w:hint="eastAsia" w:ascii="Times New Roman" w:hAnsi="Times New Roman" w:eastAsia="宋体" w:cs="宋体"/>
          <w:sz w:val="24"/>
          <w:szCs w:val="24"/>
          <w:highlight w:val="none"/>
          <w:lang w:eastAsia="zh-CN"/>
        </w:rPr>
        <w:t>报名时递交给招标代理机构</w:t>
      </w:r>
      <w:r>
        <w:rPr>
          <w:rFonts w:hint="eastAsia" w:ascii="Times New Roman" w:hAnsi="Times New Roman" w:eastAsia="宋体" w:cs="宋体"/>
          <w:sz w:val="24"/>
          <w:szCs w:val="24"/>
          <w:highlight w:val="none"/>
        </w:rPr>
        <w:t>，售后不退。</w:t>
      </w:r>
    </w:p>
    <w:p>
      <w:pPr>
        <w:keepNext w:val="0"/>
        <w:keepLines w:val="0"/>
        <w:pageBreakBefore w:val="0"/>
        <w:widowControl w:val="0"/>
        <w:kinsoku/>
        <w:wordWrap/>
        <w:topLinePunct w:val="0"/>
        <w:autoSpaceDE/>
        <w:autoSpaceDN/>
        <w:bidi w:val="0"/>
        <w:spacing w:line="360" w:lineRule="auto"/>
        <w:ind w:firstLine="482" w:firstLineChars="200"/>
        <w:rPr>
          <w:rFonts w:ascii="Times New Roman" w:hAnsi="Times New Roman" w:eastAsia="宋体" w:cs="宋体"/>
          <w:b/>
          <w:sz w:val="24"/>
          <w:szCs w:val="24"/>
          <w:highlight w:val="none"/>
        </w:rPr>
      </w:pPr>
      <w:r>
        <w:rPr>
          <w:rFonts w:hint="eastAsia" w:ascii="Times New Roman" w:hAnsi="Times New Roman" w:eastAsia="宋体" w:cs="宋体"/>
          <w:b/>
          <w:sz w:val="24"/>
          <w:szCs w:val="24"/>
          <w:highlight w:val="none"/>
        </w:rPr>
        <w:t>4、报名方式：请有意参与本项目</w:t>
      </w:r>
      <w:r>
        <w:rPr>
          <w:rFonts w:hint="eastAsia" w:ascii="Times New Roman" w:hAnsi="Times New Roman" w:eastAsia="宋体" w:cs="宋体"/>
          <w:b/>
          <w:sz w:val="24"/>
          <w:szCs w:val="24"/>
          <w:highlight w:val="none"/>
          <w:lang w:eastAsia="zh-CN"/>
        </w:rPr>
        <w:t>响应</w:t>
      </w:r>
      <w:r>
        <w:rPr>
          <w:rFonts w:hint="eastAsia" w:ascii="Times New Roman" w:hAnsi="Times New Roman" w:eastAsia="宋体" w:cs="宋体"/>
          <w:b/>
          <w:sz w:val="24"/>
          <w:szCs w:val="24"/>
          <w:highlight w:val="none"/>
        </w:rPr>
        <w:t>的供应商于202</w:t>
      </w:r>
      <w:r>
        <w:rPr>
          <w:rFonts w:hint="eastAsia" w:ascii="Times New Roman" w:hAnsi="Times New Roman" w:eastAsia="宋体" w:cs="宋体"/>
          <w:b/>
          <w:sz w:val="24"/>
          <w:szCs w:val="24"/>
          <w:highlight w:val="none"/>
          <w:lang w:val="en-US" w:eastAsia="zh-CN"/>
        </w:rPr>
        <w:t>4</w:t>
      </w:r>
      <w:r>
        <w:rPr>
          <w:rFonts w:hint="eastAsia" w:ascii="Times New Roman" w:hAnsi="Times New Roman" w:eastAsia="宋体" w:cs="宋体"/>
          <w:b/>
          <w:sz w:val="24"/>
          <w:szCs w:val="24"/>
          <w:highlight w:val="none"/>
        </w:rPr>
        <w:t>年</w:t>
      </w:r>
      <w:r>
        <w:rPr>
          <w:rFonts w:hint="eastAsia" w:ascii="Times New Roman" w:hAnsi="Times New Roman" w:eastAsia="宋体" w:cs="宋体"/>
          <w:b/>
          <w:sz w:val="24"/>
          <w:szCs w:val="24"/>
          <w:highlight w:val="none"/>
          <w:lang w:val="en-US" w:eastAsia="zh-CN"/>
        </w:rPr>
        <w:t>1</w:t>
      </w:r>
      <w:r>
        <w:rPr>
          <w:rFonts w:hint="eastAsia" w:ascii="Times New Roman" w:hAnsi="Times New Roman" w:eastAsia="宋体" w:cs="宋体"/>
          <w:b/>
          <w:sz w:val="24"/>
          <w:szCs w:val="24"/>
          <w:highlight w:val="none"/>
        </w:rPr>
        <w:t>月</w:t>
      </w:r>
      <w:r>
        <w:rPr>
          <w:rFonts w:hint="eastAsia" w:ascii="Times New Roman" w:hAnsi="Times New Roman" w:eastAsia="宋体" w:cs="宋体"/>
          <w:b/>
          <w:sz w:val="24"/>
          <w:szCs w:val="24"/>
          <w:highlight w:val="none"/>
          <w:lang w:val="en-US" w:eastAsia="zh-CN"/>
        </w:rPr>
        <w:t>10</w:t>
      </w:r>
      <w:r>
        <w:rPr>
          <w:rFonts w:hint="eastAsia" w:ascii="Times New Roman" w:hAnsi="Times New Roman" w:eastAsia="宋体" w:cs="宋体"/>
          <w:b/>
          <w:sz w:val="24"/>
          <w:szCs w:val="24"/>
          <w:highlight w:val="none"/>
        </w:rPr>
        <w:t>日18时00分前</w:t>
      </w:r>
      <w:r>
        <w:rPr>
          <w:rFonts w:hint="eastAsia" w:ascii="Times New Roman" w:hAnsi="Times New Roman" w:eastAsia="宋体" w:cs="宋体"/>
          <w:b/>
          <w:sz w:val="24"/>
          <w:szCs w:val="24"/>
          <w:highlight w:val="none"/>
          <w:lang w:eastAsia="zh-CN"/>
        </w:rPr>
        <w:t>联系</w:t>
      </w:r>
      <w:r>
        <w:rPr>
          <w:rFonts w:hint="eastAsia" w:ascii="Times New Roman" w:hAnsi="Times New Roman" w:eastAsia="宋体" w:cs="宋体"/>
          <w:b/>
          <w:sz w:val="24"/>
          <w:szCs w:val="24"/>
          <w:highlight w:val="none"/>
        </w:rPr>
        <w:t>代理机构报名</w:t>
      </w:r>
      <w:r>
        <w:rPr>
          <w:rFonts w:hint="eastAsia" w:ascii="Times New Roman" w:hAnsi="Times New Roman" w:eastAsia="宋体" w:cs="宋体"/>
          <w:b/>
          <w:bCs w:val="0"/>
          <w:sz w:val="24"/>
          <w:szCs w:val="24"/>
          <w:highlight w:val="none"/>
          <w:lang w:eastAsia="zh-CN"/>
        </w:rPr>
        <w:t>（联系人：</w:t>
      </w:r>
      <w:r>
        <w:rPr>
          <w:rFonts w:hint="eastAsia" w:ascii="Times New Roman" w:hAnsi="Times New Roman" w:eastAsia="宋体"/>
          <w:b/>
          <w:bCs w:val="0"/>
          <w:sz w:val="24"/>
          <w:szCs w:val="24"/>
        </w:rPr>
        <w:t>董安国</w:t>
      </w:r>
      <w:r>
        <w:rPr>
          <w:rFonts w:hint="eastAsia" w:ascii="Times New Roman" w:hAnsi="Times New Roman" w:eastAsia="宋体"/>
          <w:b/>
          <w:bCs w:val="0"/>
          <w:sz w:val="24"/>
          <w:szCs w:val="24"/>
          <w:lang w:eastAsia="zh-CN"/>
        </w:rPr>
        <w:t>，</w:t>
      </w:r>
      <w:r>
        <w:rPr>
          <w:rFonts w:hint="eastAsia" w:ascii="Times New Roman" w:hAnsi="Times New Roman" w:eastAsia="宋体"/>
          <w:b/>
          <w:bCs w:val="0"/>
          <w:sz w:val="24"/>
          <w:szCs w:val="24"/>
        </w:rPr>
        <w:t>联系电话：</w:t>
      </w:r>
      <w:r>
        <w:rPr>
          <w:rFonts w:hint="eastAsia" w:ascii="Times New Roman" w:hAnsi="Times New Roman" w:eastAsia="宋体" w:cs="宋体"/>
          <w:b/>
          <w:bCs w:val="0"/>
          <w:kern w:val="0"/>
          <w:sz w:val="24"/>
        </w:rPr>
        <w:t>18912299056</w:t>
      </w:r>
      <w:r>
        <w:rPr>
          <w:rFonts w:hint="eastAsia" w:ascii="Times New Roman" w:hAnsi="Times New Roman" w:eastAsia="宋体" w:cs="宋体"/>
          <w:b/>
          <w:bCs w:val="0"/>
          <w:kern w:val="0"/>
          <w:sz w:val="24"/>
          <w:lang w:eastAsia="zh-CN"/>
        </w:rPr>
        <w:t>，</w:t>
      </w:r>
      <w:r>
        <w:rPr>
          <w:rFonts w:hint="eastAsia" w:ascii="Times New Roman" w:hAnsi="Times New Roman" w:eastAsia="宋体" w:cs="宋体"/>
          <w:b/>
          <w:bCs w:val="0"/>
          <w:kern w:val="0"/>
          <w:sz w:val="24"/>
        </w:rPr>
        <w:t>邮箱：812298892@qq.com</w:t>
      </w:r>
      <w:r>
        <w:rPr>
          <w:rFonts w:hint="eastAsia" w:ascii="Times New Roman" w:hAnsi="Times New Roman" w:eastAsia="宋体" w:cs="宋体"/>
          <w:b/>
          <w:bCs w:val="0"/>
          <w:sz w:val="24"/>
          <w:szCs w:val="24"/>
          <w:highlight w:val="none"/>
          <w:lang w:eastAsia="zh-CN"/>
        </w:rPr>
        <w:t>）</w:t>
      </w:r>
      <w:r>
        <w:rPr>
          <w:rFonts w:hint="eastAsia" w:ascii="Times New Roman" w:hAnsi="Times New Roman" w:eastAsia="宋体" w:cs="宋体"/>
          <w:b/>
          <w:sz w:val="24"/>
          <w:szCs w:val="24"/>
          <w:highlight w:val="none"/>
        </w:rPr>
        <w:t>，未报名单位不得参加本项目的</w:t>
      </w:r>
      <w:r>
        <w:rPr>
          <w:rFonts w:hint="eastAsia" w:ascii="Times New Roman" w:hAnsi="Times New Roman" w:eastAsia="宋体" w:cs="宋体"/>
          <w:b/>
          <w:sz w:val="24"/>
          <w:szCs w:val="24"/>
          <w:highlight w:val="none"/>
          <w:lang w:eastAsia="zh-CN"/>
        </w:rPr>
        <w:t>响应</w:t>
      </w:r>
      <w:r>
        <w:rPr>
          <w:rFonts w:hint="eastAsia" w:ascii="Times New Roman" w:hAnsi="Times New Roman" w:eastAsia="宋体" w:cs="宋体"/>
          <w:b/>
          <w:sz w:val="24"/>
          <w:szCs w:val="24"/>
          <w:highlight w:val="none"/>
        </w:rPr>
        <w:t>。</w:t>
      </w:r>
    </w:p>
    <w:bookmarkEnd w:id="2"/>
    <w:bookmarkEnd w:id="3"/>
    <w:bookmarkEnd w:id="4"/>
    <w:bookmarkEnd w:id="5"/>
    <w:p>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b/>
          <w:kern w:val="0"/>
          <w:sz w:val="24"/>
          <w:szCs w:val="24"/>
          <w:highlight w:val="none"/>
        </w:rPr>
      </w:pPr>
      <w:bookmarkStart w:id="6" w:name="_Toc28359084"/>
      <w:bookmarkStart w:id="7" w:name="_Toc35393794"/>
      <w:bookmarkStart w:id="8" w:name="_Toc35393625"/>
      <w:bookmarkStart w:id="9" w:name="_Toc28359007"/>
      <w:r>
        <w:rPr>
          <w:rFonts w:hint="eastAsia" w:ascii="Times New Roman" w:hAnsi="Times New Roman" w:eastAsia="宋体" w:cs="宋体"/>
          <w:b/>
          <w:kern w:val="0"/>
          <w:sz w:val="24"/>
          <w:szCs w:val="24"/>
          <w:highlight w:val="none"/>
        </w:rPr>
        <w:t>四、响应文件提交</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1、提交响应文件截止时间：</w:t>
      </w:r>
      <w:r>
        <w:rPr>
          <w:rFonts w:hint="eastAsia" w:ascii="Times New Roman" w:hAnsi="Times New Roman" w:eastAsia="宋体" w:cs="宋体"/>
          <w:sz w:val="24"/>
          <w:szCs w:val="24"/>
          <w:highlight w:val="none"/>
          <w:u w:val="single"/>
        </w:rPr>
        <w:t>202</w:t>
      </w:r>
      <w:r>
        <w:rPr>
          <w:rFonts w:hint="eastAsia" w:ascii="Times New Roman" w:hAnsi="Times New Roman" w:eastAsia="宋体" w:cs="宋体"/>
          <w:sz w:val="24"/>
          <w:szCs w:val="24"/>
          <w:highlight w:val="none"/>
          <w:u w:val="single"/>
          <w:lang w:val="en-US" w:eastAsia="zh-CN"/>
        </w:rPr>
        <w:t>4</w:t>
      </w:r>
      <w:r>
        <w:rPr>
          <w:rFonts w:hint="eastAsia" w:ascii="Times New Roman" w:hAnsi="Times New Roman" w:eastAsia="宋体" w:cs="宋体"/>
          <w:bCs/>
          <w:sz w:val="24"/>
          <w:szCs w:val="24"/>
          <w:highlight w:val="none"/>
          <w:u w:val="single"/>
        </w:rPr>
        <w:t>年</w:t>
      </w:r>
      <w:r>
        <w:rPr>
          <w:rFonts w:hint="eastAsia" w:ascii="Times New Roman" w:hAnsi="Times New Roman" w:eastAsia="宋体" w:cs="宋体"/>
          <w:bCs/>
          <w:sz w:val="24"/>
          <w:szCs w:val="24"/>
          <w:highlight w:val="none"/>
          <w:u w:val="single"/>
          <w:lang w:val="en-US" w:eastAsia="zh-CN"/>
        </w:rPr>
        <w:t>1</w:t>
      </w:r>
      <w:r>
        <w:rPr>
          <w:rFonts w:hint="eastAsia" w:ascii="Times New Roman" w:hAnsi="Times New Roman" w:eastAsia="宋体" w:cs="宋体"/>
          <w:bCs/>
          <w:sz w:val="24"/>
          <w:szCs w:val="24"/>
          <w:highlight w:val="none"/>
          <w:u w:val="single"/>
        </w:rPr>
        <w:t>月</w:t>
      </w:r>
      <w:r>
        <w:rPr>
          <w:rFonts w:hint="eastAsia" w:ascii="Times New Roman" w:hAnsi="Times New Roman" w:eastAsia="宋体" w:cs="宋体"/>
          <w:bCs/>
          <w:sz w:val="24"/>
          <w:szCs w:val="24"/>
          <w:highlight w:val="none"/>
          <w:u w:val="single"/>
          <w:lang w:val="en-US" w:eastAsia="zh-CN"/>
        </w:rPr>
        <w:t>11</w:t>
      </w:r>
      <w:r>
        <w:rPr>
          <w:rFonts w:hint="eastAsia" w:ascii="Times New Roman" w:hAnsi="Times New Roman" w:eastAsia="宋体" w:cs="宋体"/>
          <w:bCs/>
          <w:sz w:val="24"/>
          <w:szCs w:val="24"/>
          <w:highlight w:val="none"/>
          <w:u w:val="single"/>
        </w:rPr>
        <w:t>日1</w:t>
      </w:r>
      <w:r>
        <w:rPr>
          <w:rFonts w:hint="eastAsia" w:ascii="Times New Roman" w:hAnsi="Times New Roman" w:eastAsia="宋体" w:cs="宋体"/>
          <w:bCs/>
          <w:sz w:val="24"/>
          <w:szCs w:val="24"/>
          <w:highlight w:val="none"/>
          <w:u w:val="single"/>
          <w:lang w:val="en-US" w:eastAsia="zh-CN"/>
        </w:rPr>
        <w:t>4</w:t>
      </w:r>
      <w:r>
        <w:rPr>
          <w:rFonts w:hint="eastAsia" w:ascii="Times New Roman" w:hAnsi="Times New Roman" w:eastAsia="宋体" w:cs="宋体"/>
          <w:bCs/>
          <w:sz w:val="24"/>
          <w:szCs w:val="24"/>
          <w:highlight w:val="none"/>
          <w:u w:val="single"/>
        </w:rPr>
        <w:t>时00分</w:t>
      </w:r>
      <w:r>
        <w:rPr>
          <w:rFonts w:hint="eastAsia" w:ascii="Times New Roman" w:hAnsi="Times New Roman" w:eastAsia="宋体" w:cs="宋体"/>
          <w:sz w:val="24"/>
          <w:szCs w:val="24"/>
          <w:highlight w:val="none"/>
        </w:rPr>
        <w:t>（北京时间）。</w:t>
      </w:r>
      <w:r>
        <w:rPr>
          <w:rFonts w:hint="eastAsia" w:ascii="Times New Roman" w:hAnsi="Times New Roman" w:eastAsia="宋体"/>
          <w:sz w:val="24"/>
          <w:highlight w:val="none"/>
        </w:rPr>
        <w:t>逾时，采购人将拒绝接受响应文件纸质文档。</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2、提交响应文件地点：</w:t>
      </w:r>
      <w:r>
        <w:rPr>
          <w:rFonts w:hint="eastAsia" w:ascii="Times New Roman" w:hAnsi="Times New Roman" w:eastAsia="宋体" w:cs="Times New Roman"/>
          <w:sz w:val="24"/>
          <w:szCs w:val="24"/>
          <w:u w:val="single"/>
          <w:lang w:eastAsia="zh-CN"/>
        </w:rPr>
        <w:t>南通市崇川区江海大道488号金贸国际25楼（宏信天德工程顾问有限公司开标室）</w:t>
      </w:r>
      <w:r>
        <w:rPr>
          <w:rFonts w:hint="eastAsia" w:ascii="Times New Roman" w:hAnsi="Times New Roman" w:eastAsia="宋体" w:cs="宋体"/>
          <w:sz w:val="24"/>
          <w:szCs w:val="24"/>
          <w:highlight w:val="none"/>
        </w:rPr>
        <w:t>，如有变动另行通知。</w:t>
      </w:r>
    </w:p>
    <w:p>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b/>
          <w:kern w:val="0"/>
          <w:sz w:val="24"/>
          <w:szCs w:val="24"/>
          <w:highlight w:val="none"/>
        </w:rPr>
      </w:pPr>
      <w:r>
        <w:rPr>
          <w:rFonts w:hint="eastAsia" w:ascii="Times New Roman" w:hAnsi="Times New Roman" w:eastAsia="宋体" w:cs="宋体"/>
          <w:b/>
          <w:kern w:val="0"/>
          <w:sz w:val="24"/>
          <w:szCs w:val="24"/>
          <w:highlight w:val="none"/>
        </w:rPr>
        <w:t>五、开启</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1、时间：</w:t>
      </w:r>
      <w:r>
        <w:rPr>
          <w:rFonts w:hint="eastAsia" w:ascii="Times New Roman" w:hAnsi="Times New Roman" w:eastAsia="宋体" w:cs="宋体"/>
          <w:sz w:val="24"/>
          <w:szCs w:val="24"/>
          <w:highlight w:val="none"/>
          <w:u w:val="single"/>
        </w:rPr>
        <w:t>202</w:t>
      </w:r>
      <w:r>
        <w:rPr>
          <w:rFonts w:hint="eastAsia" w:ascii="Times New Roman" w:hAnsi="Times New Roman" w:eastAsia="宋体" w:cs="宋体"/>
          <w:sz w:val="24"/>
          <w:szCs w:val="24"/>
          <w:highlight w:val="none"/>
          <w:u w:val="single"/>
          <w:lang w:val="en-US" w:eastAsia="zh-CN"/>
        </w:rPr>
        <w:t>4</w:t>
      </w:r>
      <w:r>
        <w:rPr>
          <w:rFonts w:hint="eastAsia" w:ascii="Times New Roman" w:hAnsi="Times New Roman" w:eastAsia="宋体" w:cs="宋体"/>
          <w:bCs/>
          <w:sz w:val="24"/>
          <w:szCs w:val="24"/>
          <w:highlight w:val="none"/>
          <w:u w:val="single"/>
        </w:rPr>
        <w:t>年</w:t>
      </w:r>
      <w:r>
        <w:rPr>
          <w:rFonts w:hint="eastAsia" w:ascii="Times New Roman" w:hAnsi="Times New Roman" w:eastAsia="宋体" w:cs="宋体"/>
          <w:bCs/>
          <w:sz w:val="24"/>
          <w:szCs w:val="24"/>
          <w:highlight w:val="none"/>
          <w:u w:val="single"/>
          <w:lang w:val="en-US" w:eastAsia="zh-CN"/>
        </w:rPr>
        <w:t>1</w:t>
      </w:r>
      <w:r>
        <w:rPr>
          <w:rFonts w:hint="eastAsia" w:ascii="Times New Roman" w:hAnsi="Times New Roman" w:eastAsia="宋体" w:cs="宋体"/>
          <w:bCs/>
          <w:sz w:val="24"/>
          <w:szCs w:val="24"/>
          <w:highlight w:val="none"/>
          <w:u w:val="single"/>
        </w:rPr>
        <w:t>月</w:t>
      </w:r>
      <w:r>
        <w:rPr>
          <w:rFonts w:hint="eastAsia" w:ascii="Times New Roman" w:hAnsi="Times New Roman" w:eastAsia="宋体" w:cs="宋体"/>
          <w:bCs/>
          <w:sz w:val="24"/>
          <w:szCs w:val="24"/>
          <w:highlight w:val="none"/>
          <w:u w:val="single"/>
          <w:lang w:val="en-US" w:eastAsia="zh-CN"/>
        </w:rPr>
        <w:t>11</w:t>
      </w:r>
      <w:r>
        <w:rPr>
          <w:rFonts w:hint="eastAsia" w:ascii="Times New Roman" w:hAnsi="Times New Roman" w:eastAsia="宋体" w:cs="宋体"/>
          <w:bCs/>
          <w:sz w:val="24"/>
          <w:szCs w:val="24"/>
          <w:highlight w:val="none"/>
          <w:u w:val="single"/>
        </w:rPr>
        <w:t>日</w:t>
      </w:r>
      <w:r>
        <w:rPr>
          <w:rFonts w:hint="eastAsia" w:ascii="Times New Roman" w:hAnsi="Times New Roman" w:eastAsia="宋体" w:cs="宋体"/>
          <w:bCs/>
          <w:sz w:val="24"/>
          <w:szCs w:val="24"/>
          <w:highlight w:val="none"/>
          <w:u w:val="single"/>
          <w:lang w:val="en-US" w:eastAsia="zh-CN"/>
        </w:rPr>
        <w:t>14</w:t>
      </w:r>
      <w:bookmarkStart w:id="18" w:name="_GoBack"/>
      <w:bookmarkEnd w:id="18"/>
      <w:r>
        <w:rPr>
          <w:rFonts w:hint="eastAsia" w:ascii="Times New Roman" w:hAnsi="Times New Roman" w:eastAsia="宋体" w:cs="宋体"/>
          <w:bCs/>
          <w:sz w:val="24"/>
          <w:szCs w:val="24"/>
          <w:highlight w:val="none"/>
          <w:u w:val="single"/>
        </w:rPr>
        <w:t>时00分</w:t>
      </w:r>
      <w:r>
        <w:rPr>
          <w:rFonts w:hint="eastAsia" w:ascii="Times New Roman" w:hAnsi="Times New Roman" w:eastAsia="宋体" w:cs="宋体"/>
          <w:sz w:val="24"/>
          <w:szCs w:val="24"/>
          <w:highlight w:val="none"/>
        </w:rPr>
        <w:t>（北京时间）。</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2、开启文件及开标地点：</w:t>
      </w:r>
      <w:r>
        <w:rPr>
          <w:rFonts w:hint="eastAsia" w:ascii="Times New Roman" w:hAnsi="Times New Roman" w:eastAsia="宋体" w:cs="Times New Roman"/>
          <w:sz w:val="24"/>
          <w:szCs w:val="24"/>
          <w:u w:val="single"/>
          <w:lang w:eastAsia="zh-CN"/>
        </w:rPr>
        <w:t>南通市崇川区江海大道488号金贸国际25楼（宏信天德工程顾问有限公司开标室）</w:t>
      </w:r>
      <w:r>
        <w:rPr>
          <w:rFonts w:hint="eastAsia" w:ascii="Times New Roman" w:hAnsi="Times New Roman" w:eastAsia="宋体" w:cs="宋体"/>
          <w:sz w:val="24"/>
          <w:szCs w:val="24"/>
          <w:highlight w:val="none"/>
        </w:rPr>
        <w:t>。</w:t>
      </w:r>
    </w:p>
    <w:p>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b/>
          <w:kern w:val="0"/>
          <w:sz w:val="24"/>
          <w:szCs w:val="24"/>
          <w:highlight w:val="none"/>
        </w:rPr>
      </w:pPr>
      <w:r>
        <w:rPr>
          <w:rFonts w:hint="eastAsia" w:ascii="Times New Roman" w:hAnsi="Times New Roman" w:eastAsia="宋体" w:cs="宋体"/>
          <w:b/>
          <w:kern w:val="0"/>
          <w:sz w:val="24"/>
          <w:szCs w:val="24"/>
          <w:highlight w:val="none"/>
        </w:rPr>
        <w:t>六、公告期限</w:t>
      </w:r>
      <w:bookmarkEnd w:id="6"/>
      <w:bookmarkEnd w:id="7"/>
      <w:bookmarkEnd w:id="8"/>
      <w:bookmarkEnd w:id="9"/>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kern w:val="0"/>
          <w:sz w:val="24"/>
          <w:szCs w:val="24"/>
          <w:highlight w:val="none"/>
        </w:rPr>
        <w:t>自本公告发布之日起3个工作日。</w:t>
      </w:r>
    </w:p>
    <w:p>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bCs/>
          <w:sz w:val="24"/>
          <w:szCs w:val="24"/>
          <w:highlight w:val="none"/>
        </w:rPr>
      </w:pPr>
      <w:r>
        <w:rPr>
          <w:rFonts w:hint="eastAsia" w:ascii="Times New Roman" w:hAnsi="Times New Roman" w:eastAsia="宋体" w:cs="宋体"/>
          <w:b/>
          <w:bCs/>
          <w:sz w:val="24"/>
          <w:szCs w:val="24"/>
          <w:highlight w:val="none"/>
        </w:rPr>
        <w:t>七、</w:t>
      </w:r>
      <w:r>
        <w:rPr>
          <w:rFonts w:hint="eastAsia" w:ascii="Times New Roman" w:hAnsi="Times New Roman" w:eastAsia="宋体" w:cs="宋体"/>
          <w:b/>
          <w:sz w:val="24"/>
          <w:szCs w:val="24"/>
          <w:highlight w:val="none"/>
        </w:rPr>
        <w:t>其他补充事宜</w:t>
      </w:r>
    </w:p>
    <w:p>
      <w:pPr>
        <w:keepNext w:val="0"/>
        <w:keepLines w:val="0"/>
        <w:pageBreakBefore w:val="0"/>
        <w:widowControl w:val="0"/>
        <w:kinsoku/>
        <w:wordWrap/>
        <w:topLinePunct w:val="0"/>
        <w:autoSpaceDE/>
        <w:autoSpaceDN/>
        <w:bidi w:val="0"/>
        <w:spacing w:line="360" w:lineRule="auto"/>
        <w:ind w:firstLine="480" w:firstLineChars="200"/>
        <w:rPr>
          <w:rFonts w:hint="eastAsia" w:ascii="Times New Roman" w:hAnsi="Times New Roman" w:eastAsia="宋体" w:cs="宋体"/>
          <w:kern w:val="0"/>
          <w:sz w:val="24"/>
          <w:szCs w:val="24"/>
          <w:highlight w:val="none"/>
        </w:rPr>
      </w:pPr>
      <w:r>
        <w:rPr>
          <w:rFonts w:hint="eastAsia" w:ascii="Times New Roman" w:hAnsi="Times New Roman" w:eastAsia="宋体" w:cs="宋体"/>
          <w:kern w:val="0"/>
          <w:sz w:val="24"/>
          <w:szCs w:val="24"/>
          <w:highlight w:val="none"/>
        </w:rPr>
        <w:t>1、</w:t>
      </w:r>
      <w:r>
        <w:rPr>
          <w:rFonts w:hint="eastAsia" w:ascii="Times New Roman" w:hAnsi="Times New Roman" w:eastAsia="宋体" w:cs="宋体"/>
          <w:kern w:val="0"/>
          <w:sz w:val="24"/>
          <w:szCs w:val="24"/>
          <w:highlight w:val="none"/>
          <w:lang w:val="en-US" w:eastAsia="zh-CN"/>
        </w:rPr>
        <w:t>磋商保证金：免收。</w:t>
      </w:r>
      <w:r>
        <w:rPr>
          <w:rFonts w:hint="eastAsia" w:ascii="Times New Roman" w:hAnsi="Times New Roman" w:eastAsia="宋体" w:cs="宋体"/>
          <w:kern w:val="0"/>
          <w:sz w:val="24"/>
          <w:szCs w:val="24"/>
          <w:highlight w:val="none"/>
        </w:rPr>
        <w:t>本项目不收取磋商保证金，采购文件中涉及磋商保证金的事项，均按免收保证金执行。</w:t>
      </w:r>
    </w:p>
    <w:p>
      <w:pPr>
        <w:keepNext w:val="0"/>
        <w:keepLines w:val="0"/>
        <w:pageBreakBefore w:val="0"/>
        <w:widowControl w:val="0"/>
        <w:kinsoku/>
        <w:wordWrap/>
        <w:topLinePunct w:val="0"/>
        <w:autoSpaceDE/>
        <w:autoSpaceDN/>
        <w:bidi w:val="0"/>
        <w:spacing w:line="360" w:lineRule="auto"/>
        <w:ind w:firstLine="480" w:firstLineChars="200"/>
        <w:rPr>
          <w:rFonts w:hint="eastAsia" w:ascii="Times New Roman" w:hAnsi="Times New Roman" w:eastAsia="宋体" w:cs="宋体"/>
          <w:kern w:val="0"/>
          <w:sz w:val="24"/>
          <w:szCs w:val="24"/>
          <w:highlight w:val="none"/>
        </w:rPr>
      </w:pPr>
      <w:r>
        <w:rPr>
          <w:rFonts w:hint="eastAsia" w:ascii="Times New Roman" w:hAnsi="Times New Roman" w:eastAsia="宋体" w:cs="宋体"/>
          <w:kern w:val="0"/>
          <w:sz w:val="24"/>
          <w:szCs w:val="24"/>
          <w:highlight w:val="none"/>
        </w:rPr>
        <w:t>2、</w:t>
      </w:r>
      <w:r>
        <w:rPr>
          <w:rFonts w:hint="default" w:ascii="Times New Roman" w:hAnsi="Times New Roman" w:eastAsia="宋体" w:cs="宋体"/>
          <w:kern w:val="0"/>
          <w:sz w:val="24"/>
          <w:szCs w:val="24"/>
          <w:highlight w:val="none"/>
          <w:lang w:val="en-US" w:eastAsia="zh-CN"/>
        </w:rPr>
        <w:t>项目磋商活动模式：</w:t>
      </w:r>
      <w:r>
        <w:rPr>
          <w:rFonts w:hint="eastAsia" w:ascii="Times New Roman" w:hAnsi="Times New Roman" w:eastAsia="宋体" w:cs="宋体"/>
          <w:kern w:val="0"/>
          <w:sz w:val="24"/>
          <w:szCs w:val="24"/>
          <w:highlight w:val="none"/>
          <w:lang w:val="en-US" w:eastAsia="zh-CN"/>
        </w:rPr>
        <w:t>现场磋商模式</w:t>
      </w:r>
      <w:r>
        <w:rPr>
          <w:rFonts w:hint="default" w:ascii="Times New Roman" w:hAnsi="Times New Roman" w:eastAsia="宋体" w:cs="宋体"/>
          <w:kern w:val="0"/>
          <w:sz w:val="24"/>
          <w:szCs w:val="24"/>
          <w:highlight w:val="none"/>
          <w:lang w:val="en-US" w:eastAsia="zh-CN"/>
        </w:rPr>
        <w:t>。</w:t>
      </w:r>
    </w:p>
    <w:p>
      <w:pPr>
        <w:keepNext w:val="0"/>
        <w:keepLines w:val="0"/>
        <w:pageBreakBefore w:val="0"/>
        <w:widowControl w:val="0"/>
        <w:kinsoku/>
        <w:wordWrap/>
        <w:topLinePunct w:val="0"/>
        <w:autoSpaceDE/>
        <w:autoSpaceDN/>
        <w:bidi w:val="0"/>
        <w:spacing w:line="360" w:lineRule="auto"/>
        <w:ind w:firstLine="480" w:firstLineChars="200"/>
        <w:rPr>
          <w:rFonts w:hint="default" w:ascii="Times New Roman" w:hAnsi="Times New Roman" w:eastAsia="宋体" w:cs="宋体"/>
          <w:kern w:val="0"/>
          <w:sz w:val="24"/>
          <w:szCs w:val="24"/>
          <w:highlight w:val="none"/>
          <w:lang w:val="en-US" w:eastAsia="zh-CN"/>
        </w:rPr>
      </w:pPr>
      <w:r>
        <w:rPr>
          <w:rFonts w:hint="default" w:ascii="Times New Roman" w:hAnsi="Times New Roman" w:eastAsia="宋体" w:cs="宋体"/>
          <w:kern w:val="0"/>
          <w:sz w:val="24"/>
          <w:szCs w:val="24"/>
          <w:highlight w:val="none"/>
          <w:lang w:val="en-US" w:eastAsia="zh-CN"/>
        </w:rPr>
        <w:t>3、项目演示、样品、答辩等：无。</w:t>
      </w:r>
    </w:p>
    <w:p>
      <w:pPr>
        <w:keepNext w:val="0"/>
        <w:keepLines w:val="0"/>
        <w:pageBreakBefore w:val="0"/>
        <w:widowControl w:val="0"/>
        <w:kinsoku/>
        <w:wordWrap/>
        <w:topLinePunct w:val="0"/>
        <w:autoSpaceDE/>
        <w:autoSpaceDN/>
        <w:bidi w:val="0"/>
        <w:spacing w:line="360" w:lineRule="auto"/>
        <w:ind w:firstLine="480" w:firstLineChars="200"/>
        <w:rPr>
          <w:rFonts w:hint="eastAsia" w:ascii="Times New Roman" w:hAnsi="Times New Roman" w:eastAsia="宋体" w:cs="宋体"/>
          <w:kern w:val="0"/>
          <w:sz w:val="24"/>
          <w:szCs w:val="24"/>
          <w:highlight w:val="none"/>
        </w:rPr>
      </w:pPr>
      <w:r>
        <w:rPr>
          <w:rFonts w:hint="eastAsia" w:ascii="Times New Roman" w:hAnsi="Times New Roman" w:eastAsia="宋体" w:cs="宋体"/>
          <w:kern w:val="0"/>
          <w:sz w:val="24"/>
          <w:szCs w:val="24"/>
          <w:highlight w:val="none"/>
          <w:lang w:val="en-US" w:eastAsia="zh-CN"/>
        </w:rPr>
        <w:t>4、</w:t>
      </w:r>
      <w:r>
        <w:rPr>
          <w:rFonts w:hint="eastAsia" w:ascii="Times New Roman" w:hAnsi="Times New Roman" w:eastAsia="宋体" w:cs="宋体"/>
          <w:kern w:val="0"/>
          <w:sz w:val="24"/>
          <w:szCs w:val="24"/>
          <w:highlight w:val="none"/>
        </w:rPr>
        <w:t>对项目需求部分（供应商其他资格要求、项目需求、评分标准）的询问、质疑请向采购人提出，由采购人负责答复；对项目磋商文件其它部分的询问请向采购人或招标代理提出。</w:t>
      </w:r>
    </w:p>
    <w:p>
      <w:pPr>
        <w:keepNext w:val="0"/>
        <w:keepLines w:val="0"/>
        <w:pageBreakBefore w:val="0"/>
        <w:widowControl w:val="0"/>
        <w:kinsoku/>
        <w:wordWrap/>
        <w:topLinePunct w:val="0"/>
        <w:autoSpaceDE/>
        <w:autoSpaceDN/>
        <w:bidi w:val="0"/>
        <w:spacing w:line="360" w:lineRule="auto"/>
        <w:ind w:firstLine="480" w:firstLineChars="200"/>
        <w:rPr>
          <w:rFonts w:hint="eastAsia" w:ascii="Times New Roman" w:hAnsi="Times New Roman" w:eastAsia="宋体" w:cs="宋体"/>
          <w:kern w:val="0"/>
          <w:sz w:val="24"/>
          <w:szCs w:val="24"/>
          <w:highlight w:val="none"/>
        </w:rPr>
      </w:pPr>
      <w:r>
        <w:rPr>
          <w:rFonts w:hint="eastAsia" w:ascii="Times New Roman" w:hAnsi="Times New Roman" w:eastAsia="宋体" w:cs="宋体"/>
          <w:kern w:val="0"/>
          <w:sz w:val="24"/>
          <w:szCs w:val="24"/>
          <w:highlight w:val="none"/>
          <w:lang w:val="en-US" w:eastAsia="zh-CN"/>
        </w:rPr>
        <w:t>5</w:t>
      </w:r>
      <w:r>
        <w:rPr>
          <w:rFonts w:hint="eastAsia" w:ascii="Times New Roman" w:hAnsi="Times New Roman" w:eastAsia="宋体" w:cs="宋体"/>
          <w:kern w:val="0"/>
          <w:sz w:val="24"/>
          <w:szCs w:val="24"/>
          <w:highlight w:val="none"/>
        </w:rPr>
        <w:t>、供应商应依照规定提交各类声明函、承诺函，不再同时提供原件备查或提供有关部门出具的相关证明文件。但中标或成交供应商，应做好提交声明函、承诺函相应原件的核查准备；核查后发现虚假或违背承诺的，依照相关法律法规规定处理。</w:t>
      </w:r>
    </w:p>
    <w:p>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b/>
          <w:sz w:val="24"/>
          <w:szCs w:val="24"/>
        </w:rPr>
      </w:pPr>
      <w:r>
        <w:rPr>
          <w:rFonts w:hint="eastAsia" w:ascii="Times New Roman" w:hAnsi="Times New Roman" w:eastAsia="宋体" w:cs="宋体"/>
          <w:b/>
          <w:sz w:val="24"/>
          <w:szCs w:val="24"/>
        </w:rPr>
        <w:t>八、凡对本次采购提出询问，请按以下方式联系</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1、采购人信息</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名称：南通市第三人民医院</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地址：江苏省南通市青年中路</w:t>
      </w:r>
      <w:r>
        <w:rPr>
          <w:rFonts w:hint="eastAsia" w:ascii="Times New Roman" w:hAnsi="Times New Roman" w:eastAsia="宋体"/>
          <w:sz w:val="24"/>
          <w:szCs w:val="24"/>
          <w:lang w:val="en-US" w:eastAsia="zh-CN"/>
        </w:rPr>
        <w:t>60</w:t>
      </w:r>
      <w:r>
        <w:rPr>
          <w:rFonts w:hint="eastAsia" w:ascii="Times New Roman" w:hAnsi="Times New Roman" w:eastAsia="宋体"/>
          <w:sz w:val="24"/>
          <w:szCs w:val="24"/>
        </w:rPr>
        <w:t>号</w:t>
      </w:r>
    </w:p>
    <w:p>
      <w:pPr>
        <w:keepNext w:val="0"/>
        <w:keepLines w:val="0"/>
        <w:pageBreakBefore w:val="0"/>
        <w:widowControl w:val="0"/>
        <w:kinsoku/>
        <w:wordWrap/>
        <w:topLinePunct w:val="0"/>
        <w:autoSpaceDE/>
        <w:autoSpaceDN/>
        <w:bidi w:val="0"/>
        <w:spacing w:line="360" w:lineRule="auto"/>
        <w:ind w:firstLine="480" w:firstLineChars="200"/>
        <w:rPr>
          <w:rFonts w:hint="eastAsia" w:ascii="Times New Roman" w:hAnsi="Times New Roman" w:eastAsia="宋体" w:cs="宋体"/>
          <w:bCs/>
          <w:sz w:val="24"/>
          <w:lang w:eastAsia="zh-CN"/>
        </w:rPr>
      </w:pPr>
      <w:r>
        <w:rPr>
          <w:rFonts w:hint="eastAsia" w:ascii="Times New Roman" w:hAnsi="Times New Roman" w:eastAsia="宋体" w:cs="宋体"/>
          <w:bCs/>
          <w:sz w:val="24"/>
        </w:rPr>
        <w:t>联系人：钱</w:t>
      </w:r>
      <w:r>
        <w:rPr>
          <w:rFonts w:hint="eastAsia" w:ascii="Times New Roman" w:hAnsi="Times New Roman" w:eastAsia="宋体" w:cs="宋体"/>
          <w:bCs/>
          <w:sz w:val="24"/>
          <w:lang w:eastAsia="zh-CN"/>
        </w:rPr>
        <w:t>先生</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bCs/>
          <w:sz w:val="24"/>
        </w:rPr>
      </w:pPr>
      <w:r>
        <w:rPr>
          <w:rFonts w:hint="eastAsia" w:ascii="Times New Roman" w:hAnsi="Times New Roman" w:eastAsia="宋体" w:cs="宋体"/>
          <w:bCs/>
          <w:sz w:val="24"/>
        </w:rPr>
        <w:t>联系电话：0513-85116168</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bCs/>
          <w:sz w:val="24"/>
        </w:rPr>
      </w:pPr>
      <w:r>
        <w:rPr>
          <w:rFonts w:hint="eastAsia" w:ascii="Times New Roman" w:hAnsi="Times New Roman" w:eastAsia="宋体" w:cs="宋体"/>
          <w:bCs/>
          <w:sz w:val="24"/>
        </w:rPr>
        <w:t>2、采购代理机构信息</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bCs/>
          <w:sz w:val="24"/>
        </w:rPr>
      </w:pPr>
      <w:r>
        <w:rPr>
          <w:rFonts w:hint="eastAsia" w:ascii="Times New Roman" w:hAnsi="Times New Roman" w:eastAsia="宋体" w:cs="宋体"/>
          <w:bCs/>
          <w:sz w:val="24"/>
        </w:rPr>
        <w:t>名称：宏信天德工程顾问有限公司</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地址：南通市崇川区江海大道488号金贸国际25楼</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联系人：董安国</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kern w:val="0"/>
          <w:sz w:val="24"/>
        </w:rPr>
      </w:pPr>
      <w:r>
        <w:rPr>
          <w:rFonts w:hint="eastAsia" w:ascii="Times New Roman" w:hAnsi="Times New Roman" w:eastAsia="宋体"/>
          <w:sz w:val="24"/>
          <w:szCs w:val="24"/>
        </w:rPr>
        <w:t>联系电话：</w:t>
      </w:r>
      <w:r>
        <w:rPr>
          <w:rFonts w:hint="eastAsia" w:ascii="Times New Roman" w:hAnsi="Times New Roman" w:eastAsia="宋体" w:cs="宋体"/>
          <w:kern w:val="0"/>
          <w:sz w:val="24"/>
        </w:rPr>
        <w:t>18912299056</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kern w:val="0"/>
          <w:sz w:val="24"/>
        </w:rPr>
      </w:pPr>
      <w:r>
        <w:rPr>
          <w:rFonts w:hint="eastAsia" w:ascii="Times New Roman" w:hAnsi="Times New Roman" w:eastAsia="宋体" w:cs="宋体"/>
          <w:kern w:val="0"/>
          <w:sz w:val="24"/>
        </w:rPr>
        <w:t>邮箱：812298892@qq.com</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3、项目联系方式</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项目联系人：董安国</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kern w:val="0"/>
          <w:sz w:val="24"/>
        </w:rPr>
      </w:pPr>
      <w:r>
        <w:rPr>
          <w:rFonts w:hint="eastAsia" w:ascii="Times New Roman" w:hAnsi="Times New Roman" w:eastAsia="宋体"/>
          <w:sz w:val="24"/>
          <w:szCs w:val="24"/>
        </w:rPr>
        <w:t>电　话：</w:t>
      </w:r>
      <w:r>
        <w:rPr>
          <w:rFonts w:hint="eastAsia" w:ascii="Times New Roman" w:hAnsi="Times New Roman" w:eastAsia="宋体" w:cs="宋体"/>
          <w:kern w:val="0"/>
          <w:sz w:val="24"/>
        </w:rPr>
        <w:t>18912299056</w:t>
      </w:r>
    </w:p>
    <w:p>
      <w:pPr>
        <w:pStyle w:val="9"/>
        <w:keepNext w:val="0"/>
        <w:keepLines w:val="0"/>
        <w:pageBreakBefore w:val="0"/>
        <w:widowControl w:val="0"/>
        <w:kinsoku/>
        <w:wordWrap/>
        <w:topLinePunct w:val="0"/>
        <w:autoSpaceDE/>
        <w:autoSpaceDN/>
        <w:bidi w:val="0"/>
        <w:spacing w:line="360" w:lineRule="auto"/>
        <w:rPr>
          <w:kern w:val="0"/>
        </w:rPr>
      </w:pPr>
      <w:r>
        <w:rPr>
          <w:kern w:val="0"/>
        </w:rPr>
        <w:br w:type="page"/>
      </w:r>
    </w:p>
    <w:p>
      <w:pPr>
        <w:pStyle w:val="3"/>
        <w:keepNext w:val="0"/>
        <w:keepLines w:val="0"/>
        <w:pageBreakBefore w:val="0"/>
        <w:widowControl w:val="0"/>
        <w:kinsoku/>
        <w:wordWrap/>
        <w:topLinePunct w:val="0"/>
        <w:autoSpaceDE/>
        <w:autoSpaceDN/>
        <w:bidi w:val="0"/>
        <w:spacing w:before="0" w:after="0" w:line="360" w:lineRule="auto"/>
        <w:jc w:val="center"/>
        <w:textAlignment w:val="baseline"/>
        <w:rPr>
          <w:rFonts w:ascii="Times New Roman" w:hAnsi="Times New Roman" w:eastAsia="宋体"/>
          <w:w w:val="80"/>
          <w:sz w:val="48"/>
          <w:szCs w:val="44"/>
        </w:rPr>
      </w:pPr>
      <w:r>
        <w:rPr>
          <w:rFonts w:hint="eastAsia" w:ascii="Times New Roman" w:hAnsi="Times New Roman" w:eastAsia="宋体"/>
          <w:w w:val="80"/>
          <w:sz w:val="48"/>
          <w:szCs w:val="44"/>
        </w:rPr>
        <w:t>第二章 投标供应商须知</w:t>
      </w:r>
    </w:p>
    <w:p>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一、说明</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1、本竞争性磋商文件仅适用于采购人组织的竞争性磋商采购活动。</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2、竞争性磋商活动及因本次磋商产生的合同受中国法律制约和保护。</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3、竞争性磋商文件的解释权属于采购人。</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供应商下载磋商文件后，应仔细检查磋商文件的所有内容。如内容中有页码短缺、资格要求以及任何设置有不合理的条件对供应商实行差别待遇或者歧视待遇的，应在磋商文件发布后的5日内，以书面形式向代理机构提出询问或疑问，</w:t>
      </w:r>
      <w:r>
        <w:rPr>
          <w:rFonts w:hint="eastAsia" w:ascii="Times New Roman" w:hAnsi="Times New Roman" w:eastAsia="宋体" w:cs="宋体"/>
          <w:sz w:val="24"/>
          <w:szCs w:val="24"/>
          <w:u w:val="double"/>
        </w:rPr>
        <w:t>未在规定的时间内提出询问或疑问的，视同理解并接受本磋商文件的所有内容，因此引起的损失由供应商自负，而且供应商不得在磋商结束后针对磋商文件的所有内容提出质疑事项</w:t>
      </w:r>
      <w:r>
        <w:rPr>
          <w:rFonts w:hint="eastAsia" w:ascii="Times New Roman" w:hAnsi="Times New Roman" w:eastAsia="宋体" w:cs="宋体"/>
          <w:sz w:val="24"/>
          <w:szCs w:val="24"/>
        </w:rPr>
        <w:t>。</w:t>
      </w:r>
      <w:r>
        <w:rPr>
          <w:rFonts w:hint="eastAsia" w:ascii="Times New Roman" w:hAnsi="Times New Roman" w:eastAsia="宋体" w:cs="宋体"/>
          <w:b/>
          <w:sz w:val="24"/>
          <w:szCs w:val="24"/>
        </w:rPr>
        <w:t>非书面形式的不作为日后质疑提出的依据。</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5、供应商应认真审阅磋商文件中所有的事项、格式、条款和规范要求等，如果供应商没有按照磋商文件要求提交响应文件，或者响应文件没有对磋商文件做出实质性响应，将被拒绝参与项目的磋商。</w:t>
      </w:r>
    </w:p>
    <w:p>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b/>
          <w:sz w:val="24"/>
          <w:szCs w:val="24"/>
        </w:rPr>
      </w:pPr>
      <w:r>
        <w:rPr>
          <w:rFonts w:hint="eastAsia" w:ascii="Times New Roman" w:hAnsi="Times New Roman" w:eastAsia="宋体" w:cs="宋体"/>
          <w:b/>
          <w:sz w:val="24"/>
          <w:szCs w:val="24"/>
        </w:rPr>
        <w:t>二、本项目涉及到的现场勘察</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1、根据自身需要，供应商可在响应文件递交之日前对有关现场和周围环境进行勘察，以获取编制响应文件和签署合同所需的信息。勘察现场所发生的费用由供应商自己承担。</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2、采购人向供应商提供的有关现场的资料和数据，是采购人现有的并认为能使供应商可利用的资料。采购人对供应商由此而做出的推论、理解和结论概不负责。</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3、经采购人允许，供应商可为勘察目的进入采购人的项目现场，但供应商不得因此使采购人承担有关的责任和蒙受损失。供应商应承担勘察现场的责任和风险。</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供应商应认真踏勘现场。在现场勘察时，熟悉现场及周围交通道路等情况，以获得一切可能影响其投标的直接资料。供应商磋商成交后，不得以不完全了解现场情况为理由而向采购人提出任何索赔的要求，对此采购人不承担任何责任并将不作任何答复与考虑。</w:t>
      </w:r>
    </w:p>
    <w:p>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b/>
          <w:sz w:val="24"/>
          <w:szCs w:val="24"/>
        </w:rPr>
      </w:pPr>
      <w:r>
        <w:rPr>
          <w:rFonts w:hint="eastAsia" w:ascii="Times New Roman" w:hAnsi="Times New Roman" w:eastAsia="宋体" w:cs="宋体"/>
          <w:b/>
          <w:sz w:val="24"/>
          <w:szCs w:val="24"/>
        </w:rPr>
        <w:t>三、磋商文件的澄清、修改、答疑</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1、代理机构有权对发出的磋商文件进行必要的澄清、修改或补充。</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2、磋商文件的澄清、修改、补充等内容均以书面明确的形式发布，并以南通市第三人民医院官网发布的信息为准。</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3、代理机构对磋商文件的澄清、修改将构成磋商文件的一部分，对响应磋商的供应商具有约束力。</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4、澄清或者修改的内容可能影响到响应文件编制的，代理机构应当在提交响应文件接收截止之日3个工作日前，发布澄清或者修改公告，不足3个工作日的，当顺延提交响应文件接收截止时间。</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5、除非代理机构以书面的形式对磋商文件作出澄清、修改及补充，供应商对涉及磋商文件的任何推论、理解和结论所造成的结果，均由供应商自负。</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6、采购单位视情组织答疑会。如有产生答疑且对磋商文件内容有修改，代理机构将按照本须知有关规定，以补充通知（公告）的方式发出。</w:t>
      </w:r>
    </w:p>
    <w:p>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sz w:val="24"/>
          <w:szCs w:val="24"/>
        </w:rPr>
      </w:pPr>
      <w:r>
        <w:rPr>
          <w:rFonts w:hint="eastAsia" w:ascii="Times New Roman" w:hAnsi="Times New Roman" w:eastAsia="宋体" w:cs="宋体"/>
          <w:b/>
          <w:sz w:val="24"/>
          <w:szCs w:val="24"/>
        </w:rPr>
        <w:t>四、响应文件的编制及装订</w:t>
      </w:r>
    </w:p>
    <w:p>
      <w:pPr>
        <w:keepNext w:val="0"/>
        <w:keepLines w:val="0"/>
        <w:pageBreakBefore w:val="0"/>
        <w:widowControl w:val="0"/>
        <w:kinsoku/>
        <w:wordWrap/>
        <w:topLinePunct w:val="0"/>
        <w:autoSpaceDE/>
        <w:autoSpaceDN/>
        <w:bidi w:val="0"/>
        <w:spacing w:line="360" w:lineRule="auto"/>
        <w:ind w:firstLine="484" w:firstLineChars="202"/>
        <w:textAlignment w:val="baseline"/>
        <w:rPr>
          <w:rFonts w:ascii="Times New Roman" w:hAnsi="Times New Roman" w:eastAsia="宋体" w:cs="宋体"/>
          <w:sz w:val="24"/>
          <w:szCs w:val="24"/>
        </w:rPr>
      </w:pPr>
      <w:r>
        <w:rPr>
          <w:rFonts w:hint="eastAsia" w:ascii="Times New Roman" w:hAnsi="Times New Roman" w:eastAsia="宋体" w:cs="宋体"/>
          <w:sz w:val="24"/>
          <w:szCs w:val="24"/>
        </w:rPr>
        <w:t>供应商按磋商文件要求编写响应文件，并牢固装订成册。响应文件均需采用A4纸（图纸等除外）装订。响应文件不得行间插字、涂改、增删，如修改错漏处，须经响应文件签署人签字并加盖公章。</w:t>
      </w:r>
    </w:p>
    <w:p>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五、响应文件的份数和签署</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1、响应文件由：</w:t>
      </w:r>
      <w:r>
        <w:rPr>
          <w:rFonts w:hint="eastAsia"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 1 \* GB3 </w:instrText>
      </w:r>
      <w:r>
        <w:rPr>
          <w:rFonts w:hint="eastAsia" w:ascii="Times New Roman" w:hAnsi="Times New Roman" w:eastAsia="宋体" w:cs="宋体"/>
          <w:sz w:val="20"/>
          <w:szCs w:val="24"/>
        </w:rPr>
        <w:fldChar w:fldCharType="separate"/>
      </w:r>
      <w:r>
        <w:rPr>
          <w:rFonts w:hint="eastAsia" w:ascii="Times New Roman" w:hAnsi="Times New Roman" w:eastAsia="宋体" w:cs="宋体"/>
          <w:sz w:val="24"/>
          <w:szCs w:val="24"/>
        </w:rPr>
        <w:t>①</w:t>
      </w:r>
      <w:r>
        <w:rPr>
          <w:rFonts w:hint="eastAsia" w:ascii="Times New Roman" w:hAnsi="Times New Roman" w:eastAsia="宋体" w:cs="宋体"/>
          <w:sz w:val="20"/>
          <w:szCs w:val="24"/>
        </w:rPr>
        <w:fldChar w:fldCharType="end"/>
      </w:r>
      <w:r>
        <w:rPr>
          <w:rFonts w:hint="eastAsia" w:ascii="Times New Roman" w:hAnsi="Times New Roman" w:eastAsia="宋体" w:cs="宋体"/>
          <w:sz w:val="24"/>
          <w:szCs w:val="24"/>
        </w:rPr>
        <w:t>资格审查文件、</w:t>
      </w:r>
      <w:r>
        <w:rPr>
          <w:rFonts w:hint="eastAsia"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 2 \* GB3 </w:instrText>
      </w:r>
      <w:r>
        <w:rPr>
          <w:rFonts w:hint="eastAsia" w:ascii="Times New Roman" w:hAnsi="Times New Roman" w:eastAsia="宋体" w:cs="宋体"/>
          <w:sz w:val="20"/>
          <w:szCs w:val="24"/>
        </w:rPr>
        <w:fldChar w:fldCharType="separate"/>
      </w:r>
      <w:r>
        <w:rPr>
          <w:rFonts w:hint="eastAsia" w:ascii="Times New Roman" w:hAnsi="Times New Roman" w:eastAsia="宋体" w:cs="宋体"/>
          <w:sz w:val="24"/>
          <w:szCs w:val="24"/>
        </w:rPr>
        <w:t>②</w:t>
      </w:r>
      <w:r>
        <w:rPr>
          <w:rFonts w:hint="eastAsia" w:ascii="Times New Roman" w:hAnsi="Times New Roman" w:eastAsia="宋体" w:cs="宋体"/>
          <w:sz w:val="20"/>
          <w:szCs w:val="24"/>
        </w:rPr>
        <w:fldChar w:fldCharType="end"/>
      </w:r>
      <w:r>
        <w:rPr>
          <w:rFonts w:hint="eastAsia" w:ascii="Times New Roman" w:hAnsi="Times New Roman" w:eastAsia="宋体" w:cs="宋体"/>
          <w:sz w:val="24"/>
          <w:szCs w:val="24"/>
        </w:rPr>
        <w:t>技术响应文件、③报价响应文件共3部分组成（以下由文件序号代称）。</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b/>
          <w:sz w:val="24"/>
          <w:szCs w:val="24"/>
          <w:u w:val="single"/>
        </w:rPr>
      </w:pPr>
      <w:r>
        <w:rPr>
          <w:rFonts w:hint="eastAsia" w:ascii="Times New Roman" w:hAnsi="Times New Roman" w:eastAsia="宋体" w:cs="宋体"/>
          <w:sz w:val="24"/>
          <w:szCs w:val="24"/>
        </w:rPr>
        <w:t>2、</w:t>
      </w:r>
      <w:r>
        <w:rPr>
          <w:rFonts w:hint="eastAsia" w:ascii="Times New Roman" w:hAnsi="Times New Roman" w:eastAsia="宋体" w:cs="宋体"/>
          <w:b/>
          <w:sz w:val="24"/>
          <w:szCs w:val="24"/>
        </w:rPr>
        <w:t>响应文件均为一式肆份，其中</w:t>
      </w:r>
      <w:r>
        <w:rPr>
          <w:rFonts w:hint="eastAsia" w:ascii="Times New Roman" w:hAnsi="Times New Roman" w:eastAsia="宋体" w:cs="宋体"/>
          <w:b/>
          <w:sz w:val="24"/>
          <w:szCs w:val="24"/>
          <w:lang w:eastAsia="zh-CN"/>
        </w:rPr>
        <w:t>“</w:t>
      </w:r>
      <w:r>
        <w:rPr>
          <w:rFonts w:hint="eastAsia" w:ascii="Times New Roman" w:hAnsi="Times New Roman" w:eastAsia="宋体" w:cs="宋体"/>
          <w:b/>
          <w:sz w:val="24"/>
          <w:szCs w:val="24"/>
        </w:rPr>
        <w:t>正本</w:t>
      </w:r>
      <w:r>
        <w:rPr>
          <w:rFonts w:hint="eastAsia" w:ascii="Times New Roman" w:hAnsi="Times New Roman" w:eastAsia="宋体" w:cs="宋体"/>
          <w:b/>
          <w:sz w:val="24"/>
          <w:szCs w:val="24"/>
          <w:lang w:eastAsia="zh-CN"/>
        </w:rPr>
        <w:t>”</w:t>
      </w:r>
      <w:r>
        <w:rPr>
          <w:rFonts w:hint="eastAsia" w:ascii="Times New Roman" w:hAnsi="Times New Roman" w:eastAsia="宋体" w:cs="宋体"/>
          <w:b/>
          <w:sz w:val="24"/>
          <w:szCs w:val="24"/>
        </w:rPr>
        <w:t>壹份和</w:t>
      </w:r>
      <w:r>
        <w:rPr>
          <w:rFonts w:hint="eastAsia" w:ascii="Times New Roman" w:hAnsi="Times New Roman" w:eastAsia="宋体" w:cs="宋体"/>
          <w:b/>
          <w:sz w:val="24"/>
          <w:szCs w:val="24"/>
          <w:lang w:eastAsia="zh-CN"/>
        </w:rPr>
        <w:t>“</w:t>
      </w:r>
      <w:r>
        <w:rPr>
          <w:rFonts w:hint="eastAsia" w:ascii="Times New Roman" w:hAnsi="Times New Roman" w:eastAsia="宋体" w:cs="宋体"/>
          <w:b/>
          <w:sz w:val="24"/>
          <w:szCs w:val="24"/>
        </w:rPr>
        <w:t>副本</w:t>
      </w:r>
      <w:r>
        <w:rPr>
          <w:rFonts w:hint="eastAsia" w:ascii="Times New Roman" w:hAnsi="Times New Roman" w:eastAsia="宋体" w:cs="宋体"/>
          <w:b/>
          <w:sz w:val="24"/>
          <w:szCs w:val="24"/>
          <w:lang w:eastAsia="zh-CN"/>
        </w:rPr>
        <w:t>”</w:t>
      </w:r>
      <w:r>
        <w:rPr>
          <w:rFonts w:hint="eastAsia" w:ascii="Times New Roman" w:hAnsi="Times New Roman" w:eastAsia="宋体" w:cs="宋体"/>
          <w:b/>
          <w:sz w:val="24"/>
          <w:szCs w:val="24"/>
        </w:rPr>
        <w:t>叁份。</w:t>
      </w:r>
    </w:p>
    <w:p>
      <w:pPr>
        <w:keepNext w:val="0"/>
        <w:keepLines w:val="0"/>
        <w:pageBreakBefore w:val="0"/>
        <w:widowControl w:val="0"/>
        <w:kinsoku/>
        <w:wordWrap/>
        <w:topLinePunct w:val="0"/>
        <w:autoSpaceDE/>
        <w:autoSpaceDN/>
        <w:bidi w:val="0"/>
        <w:spacing w:line="360" w:lineRule="auto"/>
        <w:ind w:firstLine="470" w:firstLineChars="196"/>
        <w:textAlignment w:val="baseline"/>
        <w:rPr>
          <w:rFonts w:ascii="Times New Roman" w:hAnsi="Times New Roman" w:eastAsia="宋体" w:cs="宋体"/>
          <w:sz w:val="24"/>
          <w:szCs w:val="24"/>
        </w:rPr>
      </w:pPr>
      <w:r>
        <w:rPr>
          <w:rFonts w:hint="eastAsia" w:ascii="Times New Roman" w:hAnsi="Times New Roman" w:eastAsia="宋体" w:cs="宋体"/>
          <w:sz w:val="24"/>
          <w:szCs w:val="24"/>
        </w:rPr>
        <w:t>3、在每份响应文件上要明确标注项目名称、对应的响应文件名称、供应商的全称、日期、</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正本</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副本</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字样。</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正本</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和</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副本</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若有差异，概以</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正本</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为准。</w:t>
      </w:r>
    </w:p>
    <w:p>
      <w:pPr>
        <w:keepNext w:val="0"/>
        <w:keepLines w:val="0"/>
        <w:pageBreakBefore w:val="0"/>
        <w:widowControl w:val="0"/>
        <w:kinsoku/>
        <w:wordWrap/>
        <w:topLinePunct w:val="0"/>
        <w:autoSpaceDE/>
        <w:autoSpaceDN/>
        <w:bidi w:val="0"/>
        <w:spacing w:line="360" w:lineRule="auto"/>
        <w:ind w:firstLine="470" w:firstLineChars="196"/>
        <w:textAlignment w:val="baseline"/>
        <w:rPr>
          <w:rFonts w:ascii="Times New Roman" w:hAnsi="Times New Roman" w:eastAsia="宋体" w:cs="宋体"/>
          <w:sz w:val="24"/>
          <w:szCs w:val="24"/>
        </w:rPr>
      </w:pPr>
      <w:r>
        <w:rPr>
          <w:rFonts w:hint="eastAsia" w:ascii="Times New Roman" w:hAnsi="Times New Roman" w:eastAsia="宋体" w:cs="宋体"/>
          <w:sz w:val="24"/>
          <w:szCs w:val="24"/>
        </w:rPr>
        <w:t>4、供应商可将响应文件正副本统一密封或分别密封，如正本和副本分别密封的，应在封袋上标明正、副本字样。</w:t>
      </w:r>
    </w:p>
    <w:p>
      <w:pPr>
        <w:keepNext w:val="0"/>
        <w:keepLines w:val="0"/>
        <w:pageBreakBefore w:val="0"/>
        <w:widowControl w:val="0"/>
        <w:kinsoku/>
        <w:wordWrap/>
        <w:topLinePunct w:val="0"/>
        <w:autoSpaceDE/>
        <w:autoSpaceDN/>
        <w:bidi w:val="0"/>
        <w:spacing w:line="360" w:lineRule="auto"/>
        <w:ind w:firstLine="470" w:firstLineChars="196"/>
        <w:textAlignment w:val="baseline"/>
        <w:rPr>
          <w:rFonts w:ascii="Times New Roman" w:hAnsi="Times New Roman" w:eastAsia="宋体" w:cs="宋体"/>
          <w:sz w:val="24"/>
          <w:szCs w:val="24"/>
        </w:rPr>
      </w:pPr>
      <w:r>
        <w:rPr>
          <w:rFonts w:hint="eastAsia" w:ascii="Times New Roman" w:hAnsi="Times New Roman" w:eastAsia="宋体" w:cs="宋体"/>
          <w:sz w:val="24"/>
          <w:szCs w:val="24"/>
        </w:rPr>
        <w:t>5、响应文件中的所有</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正本</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，其正文内容须按磋商文件要求由供应商法定代表人或被授权人签字（或盖章）并加盖单位公章。</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副本</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可复印，但须加盖单位公章。</w:t>
      </w:r>
    </w:p>
    <w:p>
      <w:pPr>
        <w:keepNext w:val="0"/>
        <w:keepLines w:val="0"/>
        <w:pageBreakBefore w:val="0"/>
        <w:widowControl w:val="0"/>
        <w:kinsoku/>
        <w:wordWrap/>
        <w:topLinePunct w:val="0"/>
        <w:autoSpaceDE/>
        <w:autoSpaceDN/>
        <w:bidi w:val="0"/>
        <w:spacing w:line="360" w:lineRule="auto"/>
        <w:ind w:firstLine="472" w:firstLineChars="196"/>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六、响应文件的密封及标记</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u w:val="single"/>
        </w:rPr>
      </w:pPr>
      <w:r>
        <w:rPr>
          <w:rFonts w:hint="eastAsia" w:ascii="Times New Roman" w:hAnsi="Times New Roman" w:eastAsia="宋体" w:cs="宋体"/>
          <w:sz w:val="24"/>
          <w:szCs w:val="24"/>
        </w:rPr>
        <w:t>1、供应商须将本项目响应文件：</w:t>
      </w:r>
      <w:r>
        <w:rPr>
          <w:rFonts w:hint="eastAsia"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 1 \* GB3 </w:instrText>
      </w:r>
      <w:r>
        <w:rPr>
          <w:rFonts w:hint="eastAsia" w:ascii="Times New Roman" w:hAnsi="Times New Roman" w:eastAsia="宋体" w:cs="宋体"/>
          <w:sz w:val="20"/>
          <w:szCs w:val="24"/>
        </w:rPr>
        <w:fldChar w:fldCharType="separate"/>
      </w:r>
      <w:r>
        <w:rPr>
          <w:rFonts w:hint="eastAsia" w:ascii="Times New Roman" w:hAnsi="Times New Roman" w:eastAsia="宋体" w:cs="宋体"/>
          <w:sz w:val="24"/>
          <w:szCs w:val="24"/>
        </w:rPr>
        <w:t>①</w:t>
      </w:r>
      <w:r>
        <w:rPr>
          <w:rFonts w:hint="eastAsia" w:ascii="Times New Roman" w:hAnsi="Times New Roman" w:eastAsia="宋体" w:cs="宋体"/>
          <w:sz w:val="20"/>
          <w:szCs w:val="24"/>
        </w:rPr>
        <w:fldChar w:fldCharType="end"/>
      </w:r>
      <w:r>
        <w:rPr>
          <w:rFonts w:hint="eastAsia" w:ascii="Times New Roman" w:hAnsi="Times New Roman" w:eastAsia="宋体" w:cs="宋体"/>
          <w:sz w:val="24"/>
          <w:szCs w:val="24"/>
        </w:rPr>
        <w:t>、</w:t>
      </w:r>
      <w:r>
        <w:rPr>
          <w:rFonts w:hint="eastAsia"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 2 \* GB3 </w:instrText>
      </w:r>
      <w:r>
        <w:rPr>
          <w:rFonts w:hint="eastAsia" w:ascii="Times New Roman" w:hAnsi="Times New Roman" w:eastAsia="宋体" w:cs="宋体"/>
          <w:sz w:val="20"/>
          <w:szCs w:val="24"/>
        </w:rPr>
        <w:fldChar w:fldCharType="separate"/>
      </w:r>
      <w:r>
        <w:rPr>
          <w:rFonts w:hint="eastAsia" w:ascii="Times New Roman" w:hAnsi="Times New Roman" w:eastAsia="宋体" w:cs="宋体"/>
          <w:sz w:val="24"/>
          <w:szCs w:val="24"/>
        </w:rPr>
        <w:t>②</w:t>
      </w:r>
      <w:r>
        <w:rPr>
          <w:rFonts w:hint="eastAsia" w:ascii="Times New Roman" w:hAnsi="Times New Roman" w:eastAsia="宋体" w:cs="宋体"/>
          <w:sz w:val="20"/>
          <w:szCs w:val="24"/>
        </w:rPr>
        <w:fldChar w:fldCharType="end"/>
      </w:r>
      <w:r>
        <w:rPr>
          <w:rFonts w:hint="eastAsia" w:ascii="Times New Roman" w:hAnsi="Times New Roman" w:eastAsia="宋体" w:cs="宋体"/>
          <w:sz w:val="24"/>
          <w:szCs w:val="24"/>
        </w:rPr>
        <w:t>、</w:t>
      </w:r>
      <w:r>
        <w:rPr>
          <w:rFonts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3 \* GB3</w:instrText>
      </w:r>
      <w:r>
        <w:rPr>
          <w:rFonts w:ascii="Times New Roman" w:hAnsi="Times New Roman" w:eastAsia="宋体" w:cs="宋体"/>
          <w:sz w:val="20"/>
          <w:szCs w:val="24"/>
        </w:rPr>
        <w:fldChar w:fldCharType="separate"/>
      </w:r>
      <w:r>
        <w:rPr>
          <w:rFonts w:hint="eastAsia" w:ascii="Times New Roman" w:hAnsi="Times New Roman" w:eastAsia="宋体" w:cs="宋体"/>
          <w:sz w:val="24"/>
          <w:szCs w:val="24"/>
        </w:rPr>
        <w:t>③</w:t>
      </w:r>
      <w:r>
        <w:rPr>
          <w:rFonts w:ascii="Times New Roman" w:hAnsi="Times New Roman" w:eastAsia="宋体" w:cs="宋体"/>
          <w:sz w:val="20"/>
          <w:szCs w:val="24"/>
        </w:rPr>
        <w:fldChar w:fldCharType="end"/>
      </w:r>
      <w:r>
        <w:rPr>
          <w:rFonts w:hint="eastAsia" w:ascii="Times New Roman" w:hAnsi="Times New Roman" w:eastAsia="宋体" w:cs="宋体"/>
          <w:b/>
          <w:sz w:val="24"/>
          <w:szCs w:val="24"/>
        </w:rPr>
        <w:t>单独密封</w:t>
      </w:r>
      <w:r>
        <w:rPr>
          <w:rFonts w:hint="eastAsia" w:ascii="Times New Roman" w:hAnsi="Times New Roman" w:eastAsia="宋体" w:cs="宋体"/>
          <w:sz w:val="24"/>
          <w:szCs w:val="24"/>
        </w:rPr>
        <w:t>。</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2、密封后，应在每一份密封的响应文件上明确标注磋商项目名称、响应文件各自对应的名称、供应商的全称及日期并加盖供应商公章。</w:t>
      </w:r>
    </w:p>
    <w:p>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sz w:val="24"/>
          <w:szCs w:val="24"/>
        </w:rPr>
      </w:pPr>
      <w:r>
        <w:rPr>
          <w:rFonts w:hint="eastAsia" w:ascii="Times New Roman" w:hAnsi="Times New Roman" w:eastAsia="宋体" w:cs="宋体"/>
          <w:b/>
          <w:sz w:val="24"/>
          <w:szCs w:val="24"/>
        </w:rPr>
        <w:t>【特别提醒】</w:t>
      </w:r>
      <w:r>
        <w:rPr>
          <w:rFonts w:hint="eastAsia" w:ascii="Times New Roman" w:hAnsi="Times New Roman" w:eastAsia="宋体" w:cs="宋体"/>
          <w:sz w:val="24"/>
          <w:szCs w:val="24"/>
        </w:rPr>
        <w:t>响应文件中的</w:t>
      </w:r>
      <w:r>
        <w:rPr>
          <w:rFonts w:hint="eastAsia"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 1 \* GB3 </w:instrText>
      </w:r>
      <w:r>
        <w:rPr>
          <w:rFonts w:hint="eastAsia" w:ascii="Times New Roman" w:hAnsi="Times New Roman" w:eastAsia="宋体" w:cs="宋体"/>
          <w:sz w:val="20"/>
          <w:szCs w:val="24"/>
        </w:rPr>
        <w:fldChar w:fldCharType="separate"/>
      </w:r>
      <w:r>
        <w:rPr>
          <w:rFonts w:hint="eastAsia" w:ascii="Times New Roman" w:hAnsi="Times New Roman" w:eastAsia="宋体" w:cs="宋体"/>
          <w:sz w:val="24"/>
          <w:szCs w:val="24"/>
        </w:rPr>
        <w:t>①</w:t>
      </w:r>
      <w:r>
        <w:rPr>
          <w:rFonts w:hint="eastAsia" w:ascii="Times New Roman" w:hAnsi="Times New Roman" w:eastAsia="宋体" w:cs="宋体"/>
          <w:sz w:val="20"/>
          <w:szCs w:val="24"/>
        </w:rPr>
        <w:fldChar w:fldCharType="end"/>
      </w:r>
      <w:r>
        <w:rPr>
          <w:rFonts w:hint="eastAsia" w:ascii="Times New Roman" w:hAnsi="Times New Roman" w:eastAsia="宋体" w:cs="宋体"/>
          <w:sz w:val="24"/>
          <w:szCs w:val="24"/>
        </w:rPr>
        <w:t>和</w:t>
      </w:r>
      <w:r>
        <w:rPr>
          <w:rFonts w:hint="eastAsia"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 2 \* GB3 </w:instrText>
      </w:r>
      <w:r>
        <w:rPr>
          <w:rFonts w:hint="eastAsia" w:ascii="Times New Roman" w:hAnsi="Times New Roman" w:eastAsia="宋体" w:cs="宋体"/>
          <w:sz w:val="20"/>
          <w:szCs w:val="24"/>
        </w:rPr>
        <w:fldChar w:fldCharType="separate"/>
      </w:r>
      <w:r>
        <w:rPr>
          <w:rFonts w:hint="eastAsia" w:ascii="Times New Roman" w:hAnsi="Times New Roman" w:eastAsia="宋体" w:cs="宋体"/>
          <w:sz w:val="24"/>
          <w:szCs w:val="24"/>
        </w:rPr>
        <w:t>②</w:t>
      </w:r>
      <w:r>
        <w:rPr>
          <w:rFonts w:hint="eastAsia" w:ascii="Times New Roman" w:hAnsi="Times New Roman" w:eastAsia="宋体" w:cs="宋体"/>
          <w:sz w:val="20"/>
          <w:szCs w:val="24"/>
        </w:rPr>
        <w:fldChar w:fldCharType="end"/>
      </w:r>
      <w:r>
        <w:rPr>
          <w:rFonts w:hint="eastAsia" w:ascii="Times New Roman" w:hAnsi="Times New Roman" w:eastAsia="宋体" w:cs="宋体"/>
          <w:sz w:val="24"/>
          <w:szCs w:val="24"/>
        </w:rPr>
        <w:t>的</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正本</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或</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副本</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中，均不得含有报价响应文件中报价表（报价单）内的任何项目价格，否则作无效投标处理。</w:t>
      </w:r>
    </w:p>
    <w:p>
      <w:pPr>
        <w:keepNext w:val="0"/>
        <w:keepLines w:val="0"/>
        <w:pageBreakBefore w:val="0"/>
        <w:widowControl w:val="0"/>
        <w:kinsoku/>
        <w:wordWrap/>
        <w:topLinePunct w:val="0"/>
        <w:autoSpaceDE/>
        <w:autoSpaceDN/>
        <w:bidi w:val="0"/>
        <w:spacing w:line="360" w:lineRule="auto"/>
        <w:ind w:firstLine="496" w:firstLineChars="206"/>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七、磋商报价</w:t>
      </w:r>
    </w:p>
    <w:p>
      <w:pPr>
        <w:keepNext w:val="0"/>
        <w:keepLines w:val="0"/>
        <w:pageBreakBefore w:val="0"/>
        <w:widowControl w:val="0"/>
        <w:kinsoku/>
        <w:wordWrap/>
        <w:topLinePunct w:val="0"/>
        <w:autoSpaceDE/>
        <w:autoSpaceDN/>
        <w:bidi w:val="0"/>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1、</w:t>
      </w:r>
      <w:r>
        <w:rPr>
          <w:rFonts w:hint="eastAsia" w:ascii="Times New Roman" w:hAnsi="Times New Roman" w:eastAsia="宋体" w:cs="宋体"/>
          <w:color w:val="000000"/>
          <w:sz w:val="24"/>
        </w:rPr>
        <w:t>报价供应商应对所要采购的全部内容进行报价，一个标的只允许一个报价，只报其中部分内容的或出现选择性报价，将被视为无效报价</w:t>
      </w:r>
      <w:r>
        <w:rPr>
          <w:rFonts w:hint="eastAsia" w:ascii="Times New Roman" w:hAnsi="Times New Roman" w:eastAsia="宋体" w:cs="宋体"/>
          <w:sz w:val="24"/>
          <w:szCs w:val="24"/>
        </w:rPr>
        <w:t>。</w:t>
      </w:r>
    </w:p>
    <w:p>
      <w:pPr>
        <w:keepNext w:val="0"/>
        <w:keepLines w:val="0"/>
        <w:pageBreakBefore w:val="0"/>
        <w:widowControl w:val="0"/>
        <w:kinsoku/>
        <w:wordWrap/>
        <w:topLinePunct w:val="0"/>
        <w:autoSpaceDE/>
        <w:autoSpaceDN/>
        <w:bidi w:val="0"/>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2、磋商报价均以人民币为报价的币种。</w:t>
      </w:r>
    </w:p>
    <w:p>
      <w:pPr>
        <w:keepNext w:val="0"/>
        <w:keepLines w:val="0"/>
        <w:pageBreakBefore w:val="0"/>
        <w:widowControl w:val="0"/>
        <w:kinsoku/>
        <w:wordWrap/>
        <w:topLinePunct w:val="0"/>
        <w:autoSpaceDE/>
        <w:autoSpaceDN/>
        <w:bidi w:val="0"/>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3、磋商报价表必须加盖单位公章且必须经法定代表人或被授权人签字或盖章。报价表中的大写金额与小写金额、总价金额与按单价汇总金额，若有差异，将执行《政府采购货物和服务招标投标管理办法》第59条的规定。</w:t>
      </w:r>
    </w:p>
    <w:p>
      <w:pPr>
        <w:keepNext w:val="0"/>
        <w:keepLines w:val="0"/>
        <w:pageBreakBefore w:val="0"/>
        <w:widowControl w:val="0"/>
        <w:kinsoku/>
        <w:wordWrap/>
        <w:topLinePunct w:val="0"/>
        <w:autoSpaceDE/>
        <w:autoSpaceDN/>
        <w:bidi w:val="0"/>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4、本项目报价为固定价格报价，供应商应充分考虑服务实施期间各类市场价格和政策性价格调整因素，确定价格风险计入总报价，今后不作调整。（</w:t>
      </w:r>
      <w:r>
        <w:rPr>
          <w:rFonts w:hint="eastAsia" w:ascii="Times New Roman" w:hAnsi="Times New Roman" w:eastAsia="宋体" w:cs="宋体"/>
          <w:sz w:val="24"/>
          <w:szCs w:val="24"/>
          <w:lang w:eastAsia="zh-CN"/>
        </w:rPr>
        <w:t>响应</w:t>
      </w:r>
      <w:r>
        <w:rPr>
          <w:rFonts w:hint="eastAsia" w:ascii="Times New Roman" w:hAnsi="Times New Roman" w:eastAsia="宋体" w:cs="宋体"/>
          <w:sz w:val="24"/>
          <w:szCs w:val="24"/>
        </w:rPr>
        <w:t>报价应包括完成本项目所需的一切费用，包括但不限于</w:t>
      </w:r>
      <w:r>
        <w:rPr>
          <w:rFonts w:hint="eastAsia" w:ascii="宋体" w:hAnsi="宋体"/>
          <w:bCs/>
          <w:sz w:val="24"/>
          <w:szCs w:val="24"/>
        </w:rPr>
        <w:t>服务的成本、利润、税金、开办费、政策性调整风险费等的所有费用；人工费、检测费、管理费；国家税务部门规定的各项税金；相关伴随服务以及售后服务等一切费用</w:t>
      </w:r>
      <w:r>
        <w:rPr>
          <w:rFonts w:hint="eastAsia" w:ascii="Times New Roman" w:hAnsi="Times New Roman" w:eastAsia="宋体" w:cs="宋体"/>
          <w:sz w:val="24"/>
          <w:szCs w:val="24"/>
        </w:rPr>
        <w:t>。同时，报价也应包含合同履行过程中可能发生的一切风险。）</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供应商应详细阅读竞争性磋商文件的全部内容，根据采购项目需求，准确制定相关工作方案等，必须对本采购项目全部进行报价，如有漏项，视同对本项目的优惠。不按竞争性磋商文件的要求提供响应文件，导致报价无效，作无效标处理。</w:t>
      </w:r>
    </w:p>
    <w:p>
      <w:pPr>
        <w:keepNext w:val="0"/>
        <w:keepLines w:val="0"/>
        <w:pageBreakBefore w:val="0"/>
        <w:widowControl w:val="0"/>
        <w:kinsoku/>
        <w:wordWrap/>
        <w:topLinePunct w:val="0"/>
        <w:autoSpaceDE/>
        <w:autoSpaceDN/>
        <w:bidi w:val="0"/>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6、</w:t>
      </w:r>
      <w:r>
        <w:rPr>
          <w:rFonts w:hint="eastAsia" w:ascii="Times New Roman" w:hAnsi="Times New Roman" w:eastAsia="宋体" w:cs="宋体"/>
          <w:sz w:val="24"/>
        </w:rPr>
        <w:t>除非在磋商中磋商小组对采购单位需求内容作了调整增加，或对采购内容作了实质性变更，否则</w:t>
      </w:r>
      <w:r>
        <w:rPr>
          <w:rFonts w:hint="eastAsia" w:ascii="Times New Roman" w:hAnsi="Times New Roman" w:eastAsia="宋体" w:cs="宋体"/>
          <w:b/>
          <w:sz w:val="24"/>
        </w:rPr>
        <w:t>采购单位不接受供应商高于自己前一轮的磋商报价。</w:t>
      </w:r>
    </w:p>
    <w:p>
      <w:pPr>
        <w:keepNext w:val="0"/>
        <w:keepLines w:val="0"/>
        <w:pageBreakBefore w:val="0"/>
        <w:widowControl w:val="0"/>
        <w:kinsoku/>
        <w:wordWrap/>
        <w:topLinePunct w:val="0"/>
        <w:autoSpaceDE/>
        <w:autoSpaceDN/>
        <w:bidi w:val="0"/>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7、竞争性磋商的最终报价为成交价。同时，供应商的最终成交价在合同实施期间不因市场变化因素而变动。</w:t>
      </w:r>
    </w:p>
    <w:p>
      <w:pPr>
        <w:keepNext w:val="0"/>
        <w:keepLines w:val="0"/>
        <w:pageBreakBefore w:val="0"/>
        <w:widowControl w:val="0"/>
        <w:kinsoku/>
        <w:wordWrap/>
        <w:topLinePunct w:val="0"/>
        <w:autoSpaceDE/>
        <w:autoSpaceDN/>
        <w:bidi w:val="0"/>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8、</w:t>
      </w:r>
      <w:r>
        <w:rPr>
          <w:rFonts w:hint="eastAsia" w:ascii="Times New Roman" w:hAnsi="Times New Roman" w:eastAsia="宋体" w:cs="宋体"/>
          <w:color w:val="000000"/>
          <w:sz w:val="24"/>
        </w:rPr>
        <w:t>最终报价将作为磋商小组评定成交供应商的依据</w:t>
      </w:r>
      <w:r>
        <w:rPr>
          <w:rFonts w:hint="eastAsia" w:ascii="Times New Roman" w:hAnsi="Times New Roman" w:eastAsia="宋体" w:cs="宋体"/>
          <w:sz w:val="24"/>
          <w:szCs w:val="24"/>
        </w:rPr>
        <w:t>。</w:t>
      </w:r>
    </w:p>
    <w:p>
      <w:pPr>
        <w:keepNext w:val="0"/>
        <w:keepLines w:val="0"/>
        <w:pageBreakBefore w:val="0"/>
        <w:widowControl w:val="0"/>
        <w:kinsoku/>
        <w:wordWrap/>
        <w:topLinePunct w:val="0"/>
        <w:autoSpaceDE/>
        <w:autoSpaceDN/>
        <w:bidi w:val="0"/>
        <w:spacing w:line="360" w:lineRule="auto"/>
        <w:ind w:firstLine="496" w:firstLineChars="206"/>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八、联合体参与磋商</w:t>
      </w:r>
    </w:p>
    <w:p>
      <w:pPr>
        <w:keepNext w:val="0"/>
        <w:keepLines w:val="0"/>
        <w:pageBreakBefore w:val="0"/>
        <w:widowControl w:val="0"/>
        <w:kinsoku/>
        <w:wordWrap/>
        <w:topLinePunct w:val="0"/>
        <w:autoSpaceDE/>
        <w:autoSpaceDN/>
        <w:bidi w:val="0"/>
        <w:spacing w:line="360" w:lineRule="auto"/>
        <w:ind w:firstLine="484" w:firstLineChars="202"/>
        <w:textAlignment w:val="baseline"/>
        <w:rPr>
          <w:rFonts w:ascii="Times New Roman" w:hAnsi="Times New Roman" w:eastAsia="宋体" w:cs="宋体"/>
          <w:sz w:val="24"/>
          <w:szCs w:val="24"/>
        </w:rPr>
      </w:pPr>
      <w:r>
        <w:rPr>
          <w:rFonts w:hint="eastAsia" w:ascii="Times New Roman" w:hAnsi="Times New Roman" w:eastAsia="宋体" w:cs="宋体"/>
          <w:sz w:val="24"/>
          <w:szCs w:val="24"/>
        </w:rPr>
        <w:t>不接受任何形式的联合体参与本项目的竞争性磋商。</w:t>
      </w:r>
    </w:p>
    <w:p>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sz w:val="24"/>
          <w:szCs w:val="24"/>
        </w:rPr>
      </w:pPr>
      <w:r>
        <w:rPr>
          <w:rFonts w:hint="eastAsia" w:ascii="Times New Roman" w:hAnsi="Times New Roman" w:eastAsia="宋体" w:cs="宋体"/>
          <w:b/>
          <w:bCs/>
          <w:sz w:val="24"/>
          <w:szCs w:val="24"/>
        </w:rPr>
        <w:t>九、响应文件及</w:t>
      </w:r>
      <w:r>
        <w:rPr>
          <w:rFonts w:hint="eastAsia" w:ascii="Times New Roman" w:hAnsi="Times New Roman" w:eastAsia="宋体" w:cs="宋体"/>
          <w:b/>
          <w:kern w:val="0"/>
          <w:sz w:val="24"/>
          <w:szCs w:val="24"/>
        </w:rPr>
        <w:t>磋商</w:t>
      </w:r>
      <w:r>
        <w:rPr>
          <w:rFonts w:hint="eastAsia" w:ascii="Times New Roman" w:hAnsi="Times New Roman" w:eastAsia="宋体" w:cs="宋体"/>
          <w:b/>
          <w:bCs/>
          <w:sz w:val="24"/>
          <w:szCs w:val="24"/>
        </w:rPr>
        <w:t>费用</w:t>
      </w:r>
    </w:p>
    <w:p>
      <w:pPr>
        <w:keepNext w:val="0"/>
        <w:keepLines w:val="0"/>
        <w:pageBreakBefore w:val="0"/>
        <w:widowControl w:val="0"/>
        <w:kinsoku/>
        <w:wordWrap/>
        <w:topLinePunct w:val="0"/>
        <w:autoSpaceDE/>
        <w:autoSpaceDN/>
        <w:bidi w:val="0"/>
        <w:spacing w:line="360" w:lineRule="auto"/>
        <w:ind w:firstLine="460" w:firstLineChars="192"/>
        <w:textAlignment w:val="baseline"/>
        <w:rPr>
          <w:rFonts w:ascii="Times New Roman" w:hAnsi="Times New Roman" w:eastAsia="宋体" w:cs="宋体"/>
          <w:sz w:val="24"/>
          <w:szCs w:val="24"/>
        </w:rPr>
      </w:pPr>
      <w:r>
        <w:rPr>
          <w:rFonts w:hint="eastAsia" w:ascii="Times New Roman" w:hAnsi="Times New Roman" w:eastAsia="宋体" w:cs="宋体"/>
          <w:sz w:val="24"/>
          <w:szCs w:val="24"/>
        </w:rPr>
        <w:t>1、磋商文件每套售价300元，在</w:t>
      </w:r>
      <w:r>
        <w:rPr>
          <w:rFonts w:hint="eastAsia" w:ascii="Times New Roman" w:hAnsi="Times New Roman" w:eastAsia="宋体" w:cs="宋体"/>
          <w:sz w:val="24"/>
          <w:szCs w:val="24"/>
          <w:lang w:eastAsia="zh-CN"/>
        </w:rPr>
        <w:t>报名</w:t>
      </w:r>
      <w:r>
        <w:rPr>
          <w:rFonts w:hint="eastAsia" w:ascii="Times New Roman" w:hAnsi="Times New Roman" w:eastAsia="宋体" w:cs="宋体"/>
          <w:sz w:val="24"/>
          <w:szCs w:val="24"/>
        </w:rPr>
        <w:t>的同时提交给</w:t>
      </w:r>
      <w:r>
        <w:rPr>
          <w:rFonts w:hint="eastAsia" w:ascii="Times New Roman" w:hAnsi="Times New Roman" w:eastAsia="宋体" w:cs="宋体"/>
          <w:sz w:val="24"/>
          <w:szCs w:val="24"/>
          <w:lang w:eastAsia="zh-CN"/>
        </w:rPr>
        <w:t>采购</w:t>
      </w:r>
      <w:r>
        <w:rPr>
          <w:rFonts w:hint="eastAsia" w:ascii="Times New Roman" w:hAnsi="Times New Roman" w:eastAsia="宋体" w:cs="宋体"/>
          <w:sz w:val="24"/>
          <w:szCs w:val="24"/>
        </w:rPr>
        <w:t>代理机构。</w:t>
      </w:r>
    </w:p>
    <w:p>
      <w:pPr>
        <w:keepNext w:val="0"/>
        <w:keepLines w:val="0"/>
        <w:pageBreakBefore w:val="0"/>
        <w:widowControl w:val="0"/>
        <w:kinsoku/>
        <w:wordWrap/>
        <w:topLinePunct w:val="0"/>
        <w:autoSpaceDE/>
        <w:autoSpaceDN/>
        <w:bidi w:val="0"/>
        <w:spacing w:line="360" w:lineRule="auto"/>
        <w:ind w:firstLine="460" w:firstLineChars="192"/>
        <w:textAlignment w:val="baseline"/>
        <w:rPr>
          <w:rFonts w:ascii="Times New Roman" w:hAnsi="Times New Roman" w:eastAsia="宋体" w:cs="宋体"/>
          <w:sz w:val="24"/>
          <w:szCs w:val="24"/>
        </w:rPr>
      </w:pPr>
      <w:r>
        <w:rPr>
          <w:rFonts w:hint="eastAsia" w:ascii="Times New Roman" w:hAnsi="Times New Roman" w:eastAsia="宋体" w:cs="宋体"/>
          <w:sz w:val="24"/>
          <w:szCs w:val="24"/>
        </w:rPr>
        <w:t>2、本次</w:t>
      </w:r>
      <w:r>
        <w:rPr>
          <w:rFonts w:hint="eastAsia" w:ascii="Times New Roman" w:hAnsi="Times New Roman" w:eastAsia="宋体" w:cs="宋体"/>
          <w:sz w:val="24"/>
          <w:szCs w:val="24"/>
          <w:lang w:eastAsia="zh-CN"/>
        </w:rPr>
        <w:t>磋商</w:t>
      </w:r>
      <w:r>
        <w:rPr>
          <w:rFonts w:hint="eastAsia" w:ascii="Times New Roman" w:hAnsi="Times New Roman" w:eastAsia="宋体" w:cs="宋体"/>
          <w:sz w:val="24"/>
          <w:szCs w:val="24"/>
        </w:rPr>
        <w:t>向成交供应商收取代理服务费，按国家发改委颁发的[2011]534号文《国家发改委关于降低部分建设项目收费标准规范收费行为等有关问题的通知》的有关规定执行，具体如下：</w:t>
      </w:r>
      <w:r>
        <w:rPr>
          <w:rFonts w:hint="eastAsia" w:ascii="Times New Roman" w:hAnsi="Times New Roman" w:eastAsia="宋体" w:cs="宋体"/>
          <w:sz w:val="24"/>
          <w:szCs w:val="24"/>
          <w:lang w:eastAsia="zh-CN"/>
        </w:rPr>
        <w:t>成交</w:t>
      </w:r>
      <w:r>
        <w:rPr>
          <w:rFonts w:hint="eastAsia" w:ascii="Times New Roman" w:hAnsi="Times New Roman" w:eastAsia="宋体" w:cs="宋体"/>
          <w:sz w:val="24"/>
          <w:szCs w:val="24"/>
        </w:rPr>
        <w:t>服务费按差额定率累进法计算，以成交通知书确定的</w:t>
      </w:r>
      <w:r>
        <w:rPr>
          <w:rFonts w:hint="eastAsia" w:ascii="Times New Roman" w:hAnsi="Times New Roman" w:eastAsia="宋体" w:cs="宋体"/>
          <w:sz w:val="24"/>
          <w:szCs w:val="24"/>
          <w:lang w:eastAsia="zh-CN"/>
        </w:rPr>
        <w:t>成交</w:t>
      </w:r>
      <w:r>
        <w:rPr>
          <w:rFonts w:hint="eastAsia" w:ascii="Times New Roman" w:hAnsi="Times New Roman" w:eastAsia="宋体" w:cs="宋体"/>
          <w:sz w:val="24"/>
          <w:szCs w:val="24"/>
        </w:rPr>
        <w:t>金额作为收费的计算依据，按招标收费标准下浮40%计算，不满1500元的，按1500元收取。</w:t>
      </w:r>
    </w:p>
    <w:p>
      <w:pPr>
        <w:keepNext w:val="0"/>
        <w:keepLines w:val="0"/>
        <w:pageBreakBefore w:val="0"/>
        <w:widowControl w:val="0"/>
        <w:kinsoku/>
        <w:wordWrap/>
        <w:topLinePunct w:val="0"/>
        <w:autoSpaceDE/>
        <w:autoSpaceDN/>
        <w:bidi w:val="0"/>
        <w:spacing w:line="360" w:lineRule="auto"/>
        <w:ind w:firstLine="460" w:firstLineChars="192"/>
        <w:textAlignment w:val="baseline"/>
        <w:rPr>
          <w:rFonts w:ascii="Times New Roman" w:hAnsi="Times New Roman" w:eastAsia="宋体" w:cs="宋体"/>
          <w:sz w:val="24"/>
          <w:szCs w:val="24"/>
        </w:rPr>
      </w:pPr>
      <w:r>
        <w:rPr>
          <w:rFonts w:hint="eastAsia" w:ascii="Times New Roman" w:hAnsi="Times New Roman" w:eastAsia="宋体" w:cs="宋体"/>
          <w:sz w:val="24"/>
          <w:szCs w:val="24"/>
        </w:rPr>
        <w:t>3、磋商程序顺利进行后，除供应商的原件可退回外，其余所有的响应文件都将作为档案保存，不论成交与否，代理机构均不退回。</w:t>
      </w:r>
    </w:p>
    <w:p>
      <w:pPr>
        <w:keepNext w:val="0"/>
        <w:keepLines w:val="0"/>
        <w:pageBreakBefore w:val="0"/>
        <w:widowControl w:val="0"/>
        <w:kinsoku/>
        <w:wordWrap/>
        <w:topLinePunct w:val="0"/>
        <w:autoSpaceDE/>
        <w:autoSpaceDN/>
        <w:bidi w:val="0"/>
        <w:spacing w:line="360" w:lineRule="auto"/>
        <w:ind w:firstLine="460" w:firstLineChars="192"/>
        <w:textAlignment w:val="baseline"/>
        <w:rPr>
          <w:rFonts w:ascii="Times New Roman" w:hAnsi="Times New Roman" w:eastAsia="宋体" w:cs="宋体"/>
          <w:sz w:val="24"/>
          <w:szCs w:val="24"/>
        </w:rPr>
      </w:pPr>
      <w:r>
        <w:rPr>
          <w:rFonts w:hint="eastAsia" w:ascii="Times New Roman" w:hAnsi="Times New Roman" w:eastAsia="宋体" w:cs="宋体"/>
          <w:sz w:val="24"/>
          <w:szCs w:val="24"/>
        </w:rPr>
        <w:t>4、无论磋商过程和结果如何，参加项目磋商的供应商自行承担与本次项目磋商有关的全部费用。</w:t>
      </w:r>
    </w:p>
    <w:p>
      <w:pPr>
        <w:keepNext w:val="0"/>
        <w:keepLines w:val="0"/>
        <w:pageBreakBefore w:val="0"/>
        <w:widowControl w:val="0"/>
        <w:kinsoku/>
        <w:wordWrap/>
        <w:topLinePunct w:val="0"/>
        <w:autoSpaceDE/>
        <w:autoSpaceDN/>
        <w:bidi w:val="0"/>
        <w:spacing w:line="360" w:lineRule="auto"/>
        <w:ind w:firstLine="496" w:firstLineChars="206"/>
        <w:textAlignment w:val="baseline"/>
        <w:rPr>
          <w:rFonts w:ascii="Times New Roman" w:hAnsi="Times New Roman" w:eastAsia="宋体" w:cs="宋体"/>
          <w:b/>
          <w:bCs/>
          <w:sz w:val="24"/>
          <w:szCs w:val="24"/>
        </w:rPr>
      </w:pPr>
      <w:r>
        <w:rPr>
          <w:rFonts w:hint="eastAsia" w:ascii="Times New Roman" w:hAnsi="Times New Roman" w:eastAsia="宋体" w:cs="宋体"/>
          <w:b/>
          <w:sz w:val="24"/>
          <w:szCs w:val="24"/>
        </w:rPr>
        <w:t>十、</w:t>
      </w:r>
      <w:r>
        <w:rPr>
          <w:rFonts w:hint="eastAsia" w:ascii="Times New Roman" w:hAnsi="Times New Roman" w:eastAsia="宋体" w:cs="宋体"/>
          <w:b/>
          <w:bCs/>
          <w:sz w:val="24"/>
          <w:szCs w:val="24"/>
        </w:rPr>
        <w:t>磋商响应文件的有效期</w:t>
      </w:r>
    </w:p>
    <w:p>
      <w:pPr>
        <w:keepNext w:val="0"/>
        <w:keepLines w:val="0"/>
        <w:pageBreakBefore w:val="0"/>
        <w:widowControl w:val="0"/>
        <w:kinsoku/>
        <w:wordWrap/>
        <w:topLinePunct w:val="0"/>
        <w:autoSpaceDE/>
        <w:autoSpaceDN/>
        <w:bidi w:val="0"/>
        <w:spacing w:line="360" w:lineRule="auto"/>
        <w:ind w:firstLine="494" w:firstLineChars="206"/>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1、从磋商响应文件接收截止之日算起，45个</w:t>
      </w:r>
      <w:r>
        <w:rPr>
          <w:rFonts w:hint="eastAsia" w:ascii="Times New Roman" w:hAnsi="Times New Roman" w:eastAsia="宋体" w:cs="宋体"/>
          <w:bCs/>
          <w:sz w:val="24"/>
          <w:szCs w:val="24"/>
          <w:lang w:eastAsia="zh-CN"/>
        </w:rPr>
        <w:t>“</w:t>
      </w:r>
      <w:r>
        <w:rPr>
          <w:rFonts w:hint="eastAsia" w:ascii="Times New Roman" w:hAnsi="Times New Roman" w:eastAsia="宋体" w:cs="宋体"/>
          <w:bCs/>
          <w:sz w:val="24"/>
          <w:szCs w:val="24"/>
        </w:rPr>
        <w:t>日历天</w:t>
      </w:r>
      <w:r>
        <w:rPr>
          <w:rFonts w:hint="eastAsia" w:ascii="Times New Roman" w:hAnsi="Times New Roman" w:eastAsia="宋体" w:cs="宋体"/>
          <w:bCs/>
          <w:sz w:val="24"/>
          <w:szCs w:val="24"/>
          <w:lang w:eastAsia="zh-CN"/>
        </w:rPr>
        <w:t>”</w:t>
      </w:r>
      <w:r>
        <w:rPr>
          <w:rFonts w:hint="eastAsia" w:ascii="Times New Roman" w:hAnsi="Times New Roman" w:eastAsia="宋体" w:cs="宋体"/>
          <w:bCs/>
          <w:sz w:val="24"/>
          <w:szCs w:val="24"/>
        </w:rPr>
        <w:t>内响应文件应保持有效。有效期短于这个规定期限的磋商，将被拒绝。</w:t>
      </w:r>
    </w:p>
    <w:p>
      <w:pPr>
        <w:keepNext w:val="0"/>
        <w:keepLines w:val="0"/>
        <w:pageBreakBefore w:val="0"/>
        <w:widowControl w:val="0"/>
        <w:kinsoku/>
        <w:wordWrap/>
        <w:topLinePunct w:val="0"/>
        <w:autoSpaceDE/>
        <w:autoSpaceDN/>
        <w:bidi w:val="0"/>
        <w:spacing w:line="360" w:lineRule="auto"/>
        <w:ind w:firstLine="494" w:firstLineChars="206"/>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2、在特殊情况下，采购代理机构可与响应供应商协商延长响应文件的有效期。这种要求和答复都应以书面的形式进行。同意延长有效期的磋商响应供应商不能修改磋商响应文件，按本竞争性磋商文件规定的磋商保证金的有效期也相应延长。拒绝接受延期要求的磋商响应供应商的响应文件书将被拒绝，但磋商保证金可退还。</w:t>
      </w:r>
    </w:p>
    <w:p>
      <w:pPr>
        <w:keepNext w:val="0"/>
        <w:keepLines w:val="0"/>
        <w:pageBreakBefore w:val="0"/>
        <w:widowControl w:val="0"/>
        <w:kinsoku/>
        <w:wordWrap/>
        <w:topLinePunct w:val="0"/>
        <w:autoSpaceDE/>
        <w:autoSpaceDN/>
        <w:bidi w:val="0"/>
        <w:spacing w:line="360" w:lineRule="auto"/>
        <w:ind w:firstLine="482" w:firstLineChars="200"/>
        <w:rPr>
          <w:rFonts w:ascii="Times New Roman" w:hAnsi="Times New Roman" w:eastAsia="宋体" w:cs="宋体"/>
          <w:b/>
          <w:sz w:val="24"/>
          <w:szCs w:val="24"/>
        </w:rPr>
      </w:pPr>
      <w:r>
        <w:rPr>
          <w:rFonts w:hint="eastAsia" w:ascii="Times New Roman" w:hAnsi="Times New Roman" w:eastAsia="宋体" w:cs="宋体"/>
          <w:b/>
          <w:sz w:val="24"/>
          <w:szCs w:val="24"/>
        </w:rPr>
        <w:t>十一、未尽事宜</w:t>
      </w:r>
    </w:p>
    <w:p>
      <w:pPr>
        <w:keepNext w:val="0"/>
        <w:keepLines w:val="0"/>
        <w:pageBreakBefore w:val="0"/>
        <w:widowControl w:val="0"/>
        <w:kinsoku/>
        <w:wordWrap/>
        <w:topLinePunct w:val="0"/>
        <w:autoSpaceDE/>
        <w:autoSpaceDN/>
        <w:bidi w:val="0"/>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无。</w:t>
      </w:r>
    </w:p>
    <w:p>
      <w:pPr>
        <w:keepNext w:val="0"/>
        <w:keepLines w:val="0"/>
        <w:pageBreakBefore w:val="0"/>
        <w:widowControl w:val="0"/>
        <w:kinsoku/>
        <w:wordWrap/>
        <w:topLinePunct w:val="0"/>
        <w:autoSpaceDE/>
        <w:autoSpaceDN/>
        <w:bidi w:val="0"/>
        <w:spacing w:line="360" w:lineRule="auto"/>
        <w:jc w:val="left"/>
        <w:rPr>
          <w:rFonts w:ascii="Times New Roman" w:hAnsi="Times New Roman" w:eastAsia="宋体" w:cs="宋体"/>
          <w:b/>
          <w:w w:val="80"/>
          <w:kern w:val="44"/>
          <w:sz w:val="48"/>
          <w:szCs w:val="44"/>
        </w:rPr>
      </w:pPr>
      <w:r>
        <w:rPr>
          <w:rFonts w:ascii="Times New Roman" w:hAnsi="Times New Roman" w:eastAsia="宋体" w:cs="宋体"/>
          <w:w w:val="80"/>
          <w:sz w:val="48"/>
          <w:szCs w:val="44"/>
        </w:rPr>
        <w:br w:type="page"/>
      </w:r>
    </w:p>
    <w:p>
      <w:pPr>
        <w:pStyle w:val="3"/>
        <w:keepNext w:val="0"/>
        <w:keepLines w:val="0"/>
        <w:pageBreakBefore w:val="0"/>
        <w:widowControl w:val="0"/>
        <w:kinsoku/>
        <w:wordWrap/>
        <w:topLinePunct w:val="0"/>
        <w:autoSpaceDE/>
        <w:autoSpaceDN/>
        <w:bidi w:val="0"/>
        <w:spacing w:before="0" w:after="0" w:line="360" w:lineRule="auto"/>
        <w:jc w:val="center"/>
        <w:textAlignment w:val="baseline"/>
        <w:rPr>
          <w:rFonts w:ascii="Times New Roman" w:hAnsi="Times New Roman" w:eastAsia="宋体" w:cs="宋体"/>
          <w:w w:val="80"/>
          <w:sz w:val="48"/>
          <w:szCs w:val="44"/>
        </w:rPr>
      </w:pPr>
      <w:r>
        <w:rPr>
          <w:rFonts w:hint="eastAsia" w:ascii="Times New Roman" w:hAnsi="Times New Roman" w:eastAsia="宋体" w:cs="宋体"/>
          <w:w w:val="80"/>
          <w:sz w:val="48"/>
          <w:szCs w:val="44"/>
        </w:rPr>
        <w:t>第三章 项目需求</w:t>
      </w:r>
    </w:p>
    <w:p>
      <w:pPr>
        <w:keepNext w:val="0"/>
        <w:keepLines w:val="0"/>
        <w:pageBreakBefore w:val="0"/>
        <w:widowControl w:val="0"/>
        <w:kinsoku/>
        <w:wordWrap/>
        <w:topLinePunct w:val="0"/>
        <w:autoSpaceDE/>
        <w:autoSpaceDN/>
        <w:bidi w:val="0"/>
        <w:spacing w:line="360" w:lineRule="auto"/>
        <w:ind w:firstLine="496" w:firstLineChars="206"/>
        <w:textAlignment w:val="baseline"/>
        <w:rPr>
          <w:rFonts w:hint="eastAsia" w:ascii="Times New Roman" w:hAnsi="Times New Roman" w:eastAsia="宋体" w:cs="宋体"/>
          <w:b/>
          <w:sz w:val="24"/>
          <w:szCs w:val="24"/>
        </w:rPr>
      </w:pPr>
      <w:r>
        <w:rPr>
          <w:rFonts w:hint="eastAsia" w:ascii="Times New Roman" w:hAnsi="Times New Roman" w:eastAsia="宋体" w:cs="宋体"/>
          <w:b/>
          <w:sz w:val="24"/>
          <w:szCs w:val="24"/>
        </w:rPr>
        <w:t>一、采购标的需实现的功能或者目标, 以及为落实政府采购政策需满足的要求</w:t>
      </w:r>
    </w:p>
    <w:p>
      <w:pPr>
        <w:keepNext w:val="0"/>
        <w:keepLines w:val="0"/>
        <w:pageBreakBefore w:val="0"/>
        <w:widowControl w:val="0"/>
        <w:kinsoku/>
        <w:wordWrap/>
        <w:topLinePunct w:val="0"/>
        <w:autoSpaceDE/>
        <w:autoSpaceDN/>
        <w:bidi w:val="0"/>
        <w:spacing w:line="360" w:lineRule="auto"/>
        <w:ind w:firstLine="494" w:firstLineChars="206"/>
        <w:textAlignment w:val="baseline"/>
        <w:rPr>
          <w:rFonts w:hint="eastAsia" w:ascii="Times New Roman" w:hAnsi="Times New Roman" w:eastAsia="宋体" w:cs="宋体"/>
          <w:bCs/>
          <w:sz w:val="24"/>
          <w:szCs w:val="24"/>
        </w:rPr>
      </w:pPr>
      <w:r>
        <w:rPr>
          <w:rFonts w:hint="eastAsia" w:ascii="Times New Roman" w:hAnsi="Times New Roman" w:eastAsia="宋体" w:cs="宋体"/>
          <w:bCs/>
          <w:sz w:val="24"/>
          <w:szCs w:val="24"/>
        </w:rPr>
        <w:t>随着国家医改的逐步推进以及互联网的发展，MDT成为医疗发展的必经之路，互联网+医疗健康成为大趋势。在医改的环境下大型综合性医院主要任务转为疑难、急危重症疾病的诊疗，而MDT模式能最大程度发挥大型综合性医院的专科优势。通过多学科会诊，针对具体患者制定个性化治疗方案，提高诊疗效率和患者的满意度。</w:t>
      </w:r>
    </w:p>
    <w:p>
      <w:pPr>
        <w:keepNext w:val="0"/>
        <w:keepLines w:val="0"/>
        <w:pageBreakBefore w:val="0"/>
        <w:widowControl w:val="0"/>
        <w:kinsoku/>
        <w:wordWrap/>
        <w:topLinePunct w:val="0"/>
        <w:autoSpaceDE/>
        <w:autoSpaceDN/>
        <w:bidi w:val="0"/>
        <w:spacing w:line="360" w:lineRule="auto"/>
        <w:ind w:firstLine="494" w:firstLineChars="206"/>
        <w:textAlignment w:val="baseline"/>
        <w:rPr>
          <w:rFonts w:ascii="仿宋" w:hAnsi="仿宋" w:eastAsia="仿宋" w:cs="仿宋"/>
          <w:sz w:val="24"/>
          <w:szCs w:val="24"/>
        </w:rPr>
      </w:pPr>
      <w:r>
        <w:rPr>
          <w:rFonts w:hint="eastAsia" w:ascii="Times New Roman" w:hAnsi="Times New Roman" w:eastAsia="宋体" w:cs="宋体"/>
          <w:bCs/>
          <w:sz w:val="24"/>
          <w:szCs w:val="24"/>
        </w:rPr>
        <w:t>我院MDT多学科会诊系统的建设，能够改变以单一科室为主导的方式，真正实现以病人为中心制定诊疗方案，有利于提高诊疗效率，有利于整合医院优势医疗科室资源，打造医院知名服务品牌。现拟采购一套MDT多学科会诊系统。</w:t>
      </w:r>
    </w:p>
    <w:p>
      <w:pPr>
        <w:keepNext w:val="0"/>
        <w:keepLines w:val="0"/>
        <w:pageBreakBefore w:val="0"/>
        <w:widowControl w:val="0"/>
        <w:kinsoku/>
        <w:wordWrap/>
        <w:topLinePunct w:val="0"/>
        <w:autoSpaceDE/>
        <w:autoSpaceDN/>
        <w:bidi w:val="0"/>
        <w:spacing w:line="360" w:lineRule="auto"/>
        <w:ind w:firstLine="496" w:firstLineChars="206"/>
        <w:textAlignment w:val="baseline"/>
        <w:rPr>
          <w:rFonts w:hint="eastAsia" w:ascii="Times New Roman" w:hAnsi="Times New Roman" w:eastAsia="宋体" w:cs="宋体"/>
          <w:b/>
          <w:sz w:val="24"/>
          <w:szCs w:val="24"/>
        </w:rPr>
      </w:pPr>
      <w:r>
        <w:rPr>
          <w:rFonts w:hint="eastAsia" w:ascii="Times New Roman" w:hAnsi="Times New Roman" w:eastAsia="宋体" w:cs="宋体"/>
          <w:b/>
          <w:sz w:val="24"/>
          <w:szCs w:val="24"/>
        </w:rPr>
        <w:t>二、采购标的需执行的国家相关标准、行业标准、地方标准或者其他标准、规范</w:t>
      </w:r>
    </w:p>
    <w:p>
      <w:pPr>
        <w:pStyle w:val="19"/>
        <w:keepNext w:val="0"/>
        <w:keepLines w:val="0"/>
        <w:pageBreakBefore w:val="0"/>
        <w:widowControl w:val="0"/>
        <w:kinsoku/>
        <w:wordWrap/>
        <w:topLinePunct w:val="0"/>
        <w:autoSpaceDE/>
        <w:autoSpaceDN/>
        <w:bidi w:val="0"/>
        <w:spacing w:before="0" w:beforeAutospacing="0" w:after="0" w:afterAutospacing="0" w:line="360" w:lineRule="auto"/>
        <w:ind w:firstLine="480" w:firstLineChars="200"/>
        <w:jc w:val="both"/>
        <w:rPr>
          <w:rFonts w:ascii="仿宋" w:hAnsi="仿宋" w:eastAsia="仿宋" w:cs="仿宋"/>
          <w:kern w:val="2"/>
        </w:rPr>
      </w:pPr>
      <w:bookmarkStart w:id="10" w:name="OLE_LINK2"/>
      <w:r>
        <w:rPr>
          <w:rFonts w:hint="eastAsia" w:ascii="Times New Roman" w:hAnsi="Times New Roman" w:eastAsia="宋体" w:cs="宋体"/>
          <w:bCs/>
          <w:kern w:val="2"/>
          <w:sz w:val="24"/>
          <w:szCs w:val="24"/>
          <w:lang w:val="en-US" w:eastAsia="zh-CN" w:bidi="ar-SA"/>
        </w:rPr>
        <w:t>产品的技术标准按国家标准执行，无国家标准的，按行业标准执行，无国家和行业标准的，按企业标准执行；但在采购文件中有特别要求的，按采购文件中规定的要求执行，并且符合相关法律、法规规定的要求。</w:t>
      </w:r>
      <w:bookmarkEnd w:id="10"/>
    </w:p>
    <w:p>
      <w:pPr>
        <w:keepNext w:val="0"/>
        <w:keepLines w:val="0"/>
        <w:pageBreakBefore w:val="0"/>
        <w:widowControl w:val="0"/>
        <w:kinsoku/>
        <w:wordWrap/>
        <w:topLinePunct w:val="0"/>
        <w:autoSpaceDE/>
        <w:autoSpaceDN/>
        <w:bidi w:val="0"/>
        <w:spacing w:line="360" w:lineRule="auto"/>
        <w:ind w:firstLine="496" w:firstLineChars="206"/>
        <w:textAlignment w:val="baseline"/>
        <w:rPr>
          <w:rFonts w:hint="eastAsia" w:ascii="Times New Roman" w:hAnsi="Times New Roman" w:eastAsia="宋体" w:cs="宋体"/>
          <w:b/>
          <w:sz w:val="24"/>
          <w:szCs w:val="24"/>
        </w:rPr>
      </w:pPr>
      <w:r>
        <w:rPr>
          <w:rFonts w:hint="eastAsia" w:ascii="Times New Roman" w:hAnsi="Times New Roman" w:eastAsia="宋体" w:cs="宋体"/>
          <w:b/>
          <w:sz w:val="24"/>
          <w:szCs w:val="24"/>
        </w:rPr>
        <w:t>三、采购标的需满足的质量、安全、技术规格、物理特性等要求</w:t>
      </w:r>
    </w:p>
    <w:tbl>
      <w:tblPr>
        <w:tblStyle w:val="24"/>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94"/>
        <w:gridCol w:w="1459"/>
        <w:gridCol w:w="1485"/>
        <w:gridCol w:w="520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794" w:type="dxa"/>
            <w:vAlign w:val="center"/>
          </w:tcPr>
          <w:p>
            <w:pPr>
              <w:keepNext w:val="0"/>
              <w:keepLines w:val="0"/>
              <w:pageBreakBefore w:val="0"/>
              <w:widowControl w:val="0"/>
              <w:kinsoku/>
              <w:wordWrap/>
              <w:topLinePunct w:val="0"/>
              <w:autoSpaceDE/>
              <w:autoSpaceDN/>
              <w:bidi w:val="0"/>
              <w:snapToGrid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459" w:type="dxa"/>
            <w:vAlign w:val="center"/>
          </w:tcPr>
          <w:p>
            <w:pPr>
              <w:keepNext w:val="0"/>
              <w:keepLines w:val="0"/>
              <w:pageBreakBefore w:val="0"/>
              <w:widowControl w:val="0"/>
              <w:kinsoku/>
              <w:wordWrap/>
              <w:topLinePunct w:val="0"/>
              <w:autoSpaceDE/>
              <w:autoSpaceDN/>
              <w:bidi w:val="0"/>
              <w:snapToGrid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软件名称</w:t>
            </w:r>
          </w:p>
        </w:tc>
        <w:tc>
          <w:tcPr>
            <w:tcW w:w="1485" w:type="dxa"/>
            <w:vAlign w:val="center"/>
          </w:tcPr>
          <w:p>
            <w:pPr>
              <w:keepNext w:val="0"/>
              <w:keepLines w:val="0"/>
              <w:pageBreakBefore w:val="0"/>
              <w:widowControl w:val="0"/>
              <w:kinsoku/>
              <w:wordWrap/>
              <w:topLinePunct w:val="0"/>
              <w:autoSpaceDE/>
              <w:autoSpaceDN/>
              <w:bidi w:val="0"/>
              <w:snapToGrid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软件模块</w:t>
            </w:r>
          </w:p>
        </w:tc>
        <w:tc>
          <w:tcPr>
            <w:tcW w:w="5208" w:type="dxa"/>
            <w:vAlign w:val="center"/>
          </w:tcPr>
          <w:p>
            <w:pPr>
              <w:keepNext w:val="0"/>
              <w:keepLines w:val="0"/>
              <w:pageBreakBefore w:val="0"/>
              <w:widowControl w:val="0"/>
              <w:kinsoku/>
              <w:wordWrap/>
              <w:topLinePunct w:val="0"/>
              <w:autoSpaceDE/>
              <w:autoSpaceDN/>
              <w:bidi w:val="0"/>
              <w:snapToGrid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功能技术指标要求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794" w:type="dxa"/>
            <w:vMerge w:val="restart"/>
            <w:vAlign w:val="center"/>
          </w:tcPr>
          <w:p>
            <w:pPr>
              <w:keepNext w:val="0"/>
              <w:keepLines w:val="0"/>
              <w:pageBreakBefore w:val="0"/>
              <w:widowControl w:val="0"/>
              <w:kinsoku/>
              <w:wordWrap/>
              <w:topLinePunct w:val="0"/>
              <w:autoSpaceDE/>
              <w:autoSpaceDN/>
              <w:bidi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459" w:type="dxa"/>
            <w:vMerge w:val="restart"/>
            <w:vAlign w:val="center"/>
          </w:tcPr>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MDT医疗数据异构集成软件</w:t>
            </w:r>
          </w:p>
        </w:tc>
        <w:tc>
          <w:tcPr>
            <w:tcW w:w="1485" w:type="dxa"/>
            <w:vAlign w:val="center"/>
          </w:tcPr>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异构系统接口</w:t>
            </w:r>
          </w:p>
        </w:tc>
        <w:tc>
          <w:tcPr>
            <w:tcW w:w="5208" w:type="dxa"/>
            <w:vAlign w:val="center"/>
          </w:tcPr>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1）支持与集成平台、HIS、EMR、LIS、PACS/RIS、超声、内镜、病理、心电等异构信息系统接口，以患者为核心的诊疗数据异构集成;</w:t>
            </w:r>
          </w:p>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2）支持DICOM Query/Retrieve接口，对医学影像采集和传输能力；</w:t>
            </w:r>
          </w:p>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3）支持WebService接口方式；</w:t>
            </w:r>
          </w:p>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4）支持对接Oracle、SQL等数据库，支持中间表、数据库视图等接口方式。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794" w:type="dxa"/>
            <w:vMerge w:val="continue"/>
            <w:vAlign w:val="center"/>
          </w:tcPr>
          <w:p>
            <w:pPr>
              <w:keepNext w:val="0"/>
              <w:keepLines w:val="0"/>
              <w:pageBreakBefore w:val="0"/>
              <w:widowControl w:val="0"/>
              <w:kinsoku/>
              <w:wordWrap/>
              <w:topLinePunct w:val="0"/>
              <w:autoSpaceDE/>
              <w:autoSpaceDN/>
              <w:bidi w:val="0"/>
              <w:snapToGrid w:val="0"/>
              <w:spacing w:line="360" w:lineRule="auto"/>
              <w:jc w:val="center"/>
              <w:rPr>
                <w:rFonts w:hint="eastAsia" w:ascii="宋体" w:hAnsi="宋体" w:eastAsia="宋体" w:cs="宋体"/>
                <w:sz w:val="24"/>
                <w:szCs w:val="24"/>
              </w:rPr>
            </w:pPr>
          </w:p>
        </w:tc>
        <w:tc>
          <w:tcPr>
            <w:tcW w:w="1459" w:type="dxa"/>
            <w:vMerge w:val="continue"/>
            <w:vAlign w:val="center"/>
          </w:tcPr>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p>
        </w:tc>
        <w:tc>
          <w:tcPr>
            <w:tcW w:w="1485" w:type="dxa"/>
            <w:vAlign w:val="center"/>
          </w:tcPr>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临床数据采集</w:t>
            </w:r>
          </w:p>
        </w:tc>
        <w:tc>
          <w:tcPr>
            <w:tcW w:w="5208" w:type="dxa"/>
            <w:vAlign w:val="center"/>
          </w:tcPr>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1）支持从各业务系统采集患者基本信息和临床诊疗数据。</w:t>
            </w:r>
          </w:p>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2）支持从HIS获取会诊患者基本信息、医嘱等数据；</w:t>
            </w:r>
          </w:p>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3）支持从EMR获取会诊患者入院病历、病程记录等数据；</w:t>
            </w:r>
          </w:p>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4）支持从LIS获取会诊患者检验结果等；</w:t>
            </w:r>
          </w:p>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5）支持采集策略设置，支持按T+1定时采集，支持按患者即时采集；</w:t>
            </w:r>
          </w:p>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6）支持对采集的患者基本信息和临床诊疗数据进行关联。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794" w:type="dxa"/>
            <w:vMerge w:val="continue"/>
            <w:vAlign w:val="center"/>
          </w:tcPr>
          <w:p>
            <w:pPr>
              <w:keepNext w:val="0"/>
              <w:keepLines w:val="0"/>
              <w:pageBreakBefore w:val="0"/>
              <w:widowControl w:val="0"/>
              <w:kinsoku/>
              <w:wordWrap/>
              <w:topLinePunct w:val="0"/>
              <w:autoSpaceDE/>
              <w:autoSpaceDN/>
              <w:bidi w:val="0"/>
              <w:snapToGrid w:val="0"/>
              <w:spacing w:line="360" w:lineRule="auto"/>
              <w:jc w:val="center"/>
              <w:rPr>
                <w:rFonts w:hint="eastAsia" w:ascii="宋体" w:hAnsi="宋体" w:eastAsia="宋体" w:cs="宋体"/>
                <w:sz w:val="24"/>
                <w:szCs w:val="24"/>
              </w:rPr>
            </w:pPr>
          </w:p>
        </w:tc>
        <w:tc>
          <w:tcPr>
            <w:tcW w:w="1459" w:type="dxa"/>
            <w:vMerge w:val="continue"/>
            <w:vAlign w:val="center"/>
          </w:tcPr>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p>
        </w:tc>
        <w:tc>
          <w:tcPr>
            <w:tcW w:w="1485" w:type="dxa"/>
            <w:vAlign w:val="center"/>
          </w:tcPr>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影像数据采集</w:t>
            </w:r>
          </w:p>
        </w:tc>
        <w:tc>
          <w:tcPr>
            <w:tcW w:w="5208" w:type="dxa"/>
            <w:vAlign w:val="center"/>
          </w:tcPr>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▲1）支持从PACS系统实时采集DICOM全序列影像数据能力，支持DICOM Query/Retrieve服务、FTP服务、LAN方式直连多种影像采集模式，按策略采集、传输DICOM序列影像文件</w:t>
            </w:r>
            <w:r>
              <w:rPr>
                <w:rFonts w:hint="eastAsia" w:ascii="宋体" w:hAnsi="宋体" w:eastAsia="宋体" w:cs="宋体"/>
                <w:b/>
                <w:bCs/>
                <w:sz w:val="24"/>
                <w:szCs w:val="24"/>
              </w:rPr>
              <w:t>（提供影像数据采集相关的计算机软件著作权登记证扫描件，著作权登记时间以项目招标公告发布之日前为准）</w:t>
            </w:r>
            <w:r>
              <w:rPr>
                <w:rFonts w:hint="eastAsia" w:ascii="宋体" w:hAnsi="宋体" w:eastAsia="宋体" w:cs="宋体"/>
                <w:sz w:val="24"/>
                <w:szCs w:val="24"/>
              </w:rPr>
              <w:t>；</w:t>
            </w:r>
          </w:p>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2）支持从RIS获取会诊患者检查诊断报告；</w:t>
            </w:r>
          </w:p>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3）支持从超声影像系统采集会诊患者检查报告和超声影像文件；</w:t>
            </w:r>
          </w:p>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4）支持从内镜影像系统采集会诊患者检查报告和内镜影像文件；</w:t>
            </w:r>
          </w:p>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5）支持从病理影像系统采集会诊患者检查报告和病理影像文件；</w:t>
            </w:r>
          </w:p>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6）支持从心电信息系统采集会诊患者检查报告和心电JPEG或PDF格式图像文件。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794" w:type="dxa"/>
            <w:vMerge w:val="continue"/>
            <w:vAlign w:val="center"/>
          </w:tcPr>
          <w:p>
            <w:pPr>
              <w:keepNext w:val="0"/>
              <w:keepLines w:val="0"/>
              <w:pageBreakBefore w:val="0"/>
              <w:widowControl w:val="0"/>
              <w:kinsoku/>
              <w:wordWrap/>
              <w:topLinePunct w:val="0"/>
              <w:autoSpaceDE/>
              <w:autoSpaceDN/>
              <w:bidi w:val="0"/>
              <w:snapToGrid w:val="0"/>
              <w:spacing w:line="360" w:lineRule="auto"/>
              <w:jc w:val="center"/>
              <w:rPr>
                <w:rFonts w:hint="eastAsia" w:ascii="宋体" w:hAnsi="宋体" w:eastAsia="宋体" w:cs="宋体"/>
                <w:sz w:val="24"/>
                <w:szCs w:val="24"/>
              </w:rPr>
            </w:pPr>
          </w:p>
        </w:tc>
        <w:tc>
          <w:tcPr>
            <w:tcW w:w="1459" w:type="dxa"/>
            <w:vMerge w:val="continue"/>
            <w:vAlign w:val="center"/>
          </w:tcPr>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p>
        </w:tc>
        <w:tc>
          <w:tcPr>
            <w:tcW w:w="1485" w:type="dxa"/>
            <w:vAlign w:val="center"/>
          </w:tcPr>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外院病历导入</w:t>
            </w:r>
          </w:p>
        </w:tc>
        <w:tc>
          <w:tcPr>
            <w:tcW w:w="5208" w:type="dxa"/>
            <w:vAlign w:val="center"/>
          </w:tcPr>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▲1）支持患者基本信息录入和外院病历资料导入，包括纸质病历、检验结果单、检查报告单资等拍照导入</w:t>
            </w:r>
            <w:r>
              <w:rPr>
                <w:rFonts w:hint="eastAsia" w:ascii="宋体" w:hAnsi="宋体" w:eastAsia="宋体" w:cs="宋体"/>
                <w:b/>
                <w:bCs/>
                <w:sz w:val="24"/>
                <w:szCs w:val="24"/>
              </w:rPr>
              <w:t>（提供病历录入相关的计算机软件著作权登记证扫描件，著作权登记时间以项目招标公告发布之日前为准）</w:t>
            </w:r>
            <w:r>
              <w:rPr>
                <w:rFonts w:hint="eastAsia" w:ascii="宋体" w:hAnsi="宋体" w:eastAsia="宋体" w:cs="宋体"/>
                <w:sz w:val="24"/>
                <w:szCs w:val="24"/>
              </w:rPr>
              <w:t>；</w:t>
            </w:r>
          </w:p>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2）支持胶片采用胶片扫描仪扫描录入；</w:t>
            </w:r>
          </w:p>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3）支持DICOM数字影像支持数据导入。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794" w:type="dxa"/>
            <w:vMerge w:val="continue"/>
            <w:vAlign w:val="center"/>
          </w:tcPr>
          <w:p>
            <w:pPr>
              <w:keepNext w:val="0"/>
              <w:keepLines w:val="0"/>
              <w:pageBreakBefore w:val="0"/>
              <w:widowControl w:val="0"/>
              <w:kinsoku/>
              <w:wordWrap/>
              <w:topLinePunct w:val="0"/>
              <w:autoSpaceDE/>
              <w:autoSpaceDN/>
              <w:bidi w:val="0"/>
              <w:snapToGrid w:val="0"/>
              <w:spacing w:line="360" w:lineRule="auto"/>
              <w:jc w:val="center"/>
              <w:rPr>
                <w:rFonts w:hint="eastAsia" w:ascii="宋体" w:hAnsi="宋体" w:eastAsia="宋体" w:cs="宋体"/>
                <w:sz w:val="24"/>
                <w:szCs w:val="24"/>
              </w:rPr>
            </w:pPr>
          </w:p>
        </w:tc>
        <w:tc>
          <w:tcPr>
            <w:tcW w:w="1459" w:type="dxa"/>
            <w:vMerge w:val="continue"/>
            <w:vAlign w:val="center"/>
          </w:tcPr>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p>
        </w:tc>
        <w:tc>
          <w:tcPr>
            <w:tcW w:w="1485" w:type="dxa"/>
            <w:vAlign w:val="center"/>
          </w:tcPr>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患者数据存储</w:t>
            </w:r>
          </w:p>
        </w:tc>
        <w:tc>
          <w:tcPr>
            <w:tcW w:w="5208" w:type="dxa"/>
            <w:vAlign w:val="center"/>
          </w:tcPr>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1）支持创建MDT医疗数据中心，会诊患者全部临床诊疗数据统一标准、集中存储；</w:t>
            </w:r>
          </w:p>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2）支持索引信息和诊断信息以数据库存储格式存储；</w:t>
            </w:r>
          </w:p>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3）支持医学影像文件以文件格式存储；</w:t>
            </w:r>
          </w:p>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4）支持医学影像类数据与非影像类数据共同使用唯一索引；</w:t>
            </w:r>
          </w:p>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5）支持提供授权用户查询。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794" w:type="dxa"/>
            <w:vMerge w:val="continue"/>
            <w:vAlign w:val="center"/>
          </w:tcPr>
          <w:p>
            <w:pPr>
              <w:keepNext w:val="0"/>
              <w:keepLines w:val="0"/>
              <w:pageBreakBefore w:val="0"/>
              <w:widowControl w:val="0"/>
              <w:kinsoku/>
              <w:wordWrap/>
              <w:topLinePunct w:val="0"/>
              <w:autoSpaceDE/>
              <w:autoSpaceDN/>
              <w:bidi w:val="0"/>
              <w:snapToGrid w:val="0"/>
              <w:spacing w:line="360" w:lineRule="auto"/>
              <w:jc w:val="center"/>
              <w:rPr>
                <w:rFonts w:hint="eastAsia" w:ascii="宋体" w:hAnsi="宋体" w:eastAsia="宋体" w:cs="宋体"/>
                <w:sz w:val="24"/>
                <w:szCs w:val="24"/>
              </w:rPr>
            </w:pPr>
          </w:p>
        </w:tc>
        <w:tc>
          <w:tcPr>
            <w:tcW w:w="1459" w:type="dxa"/>
            <w:vMerge w:val="continue"/>
            <w:vAlign w:val="center"/>
          </w:tcPr>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p>
        </w:tc>
        <w:tc>
          <w:tcPr>
            <w:tcW w:w="1485" w:type="dxa"/>
            <w:vAlign w:val="center"/>
          </w:tcPr>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影像云计算</w:t>
            </w:r>
          </w:p>
        </w:tc>
        <w:tc>
          <w:tcPr>
            <w:tcW w:w="5208" w:type="dxa"/>
            <w:vAlign w:val="center"/>
          </w:tcPr>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▲1）支持影像云计算引擎服务集群，影像云计算单元实时划分，支持CT、MRI、CR、DR、DSA、RF、US等DICOM影像数据即时加载和运算</w:t>
            </w:r>
            <w:r>
              <w:rPr>
                <w:rFonts w:hint="eastAsia" w:ascii="宋体" w:hAnsi="宋体" w:eastAsia="宋体" w:cs="宋体"/>
                <w:b/>
                <w:bCs/>
                <w:sz w:val="24"/>
                <w:szCs w:val="24"/>
              </w:rPr>
              <w:t>（提供影像云计算相关的计算机软件著作权登记证扫描件，著作权登记时间以项目招标公告发布之日前为准）</w:t>
            </w:r>
            <w:r>
              <w:rPr>
                <w:rFonts w:hint="eastAsia" w:ascii="宋体" w:hAnsi="宋体" w:eastAsia="宋体" w:cs="宋体"/>
                <w:sz w:val="24"/>
                <w:szCs w:val="24"/>
              </w:rPr>
              <w:t>；</w:t>
            </w:r>
          </w:p>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2）支持即时处理终端操作指令、并返回处理结果图像；</w:t>
            </w:r>
          </w:p>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3）支持终端设备DICOM图像窗宽/窗位、缩放、移动等基本处理指令；</w:t>
            </w:r>
          </w:p>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4）支持Wifi、4G、5G网络带宽环境下的终端应用服务；</w:t>
            </w:r>
          </w:p>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5）支持多任务、多并发负载均衡。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794" w:type="dxa"/>
            <w:vMerge w:val="restart"/>
            <w:vAlign w:val="center"/>
          </w:tcPr>
          <w:p>
            <w:pPr>
              <w:keepNext w:val="0"/>
              <w:keepLines w:val="0"/>
              <w:pageBreakBefore w:val="0"/>
              <w:widowControl w:val="0"/>
              <w:kinsoku/>
              <w:wordWrap/>
              <w:topLinePunct w:val="0"/>
              <w:autoSpaceDE/>
              <w:autoSpaceDN/>
              <w:bidi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459" w:type="dxa"/>
            <w:vMerge w:val="restart"/>
            <w:vAlign w:val="center"/>
          </w:tcPr>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MDT多学科会诊软件</w:t>
            </w:r>
          </w:p>
        </w:tc>
        <w:tc>
          <w:tcPr>
            <w:tcW w:w="1485" w:type="dxa"/>
            <w:vAlign w:val="center"/>
          </w:tcPr>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专家管理</w:t>
            </w:r>
          </w:p>
        </w:tc>
        <w:tc>
          <w:tcPr>
            <w:tcW w:w="5208" w:type="dxa"/>
            <w:vAlign w:val="center"/>
          </w:tcPr>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1）支持建立会诊专家管理，为每位专家分配登录账号；</w:t>
            </w:r>
          </w:p>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2）支持专家用户按科室分组。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794" w:type="dxa"/>
            <w:vMerge w:val="continue"/>
            <w:vAlign w:val="center"/>
          </w:tcPr>
          <w:p>
            <w:pPr>
              <w:keepNext w:val="0"/>
              <w:keepLines w:val="0"/>
              <w:pageBreakBefore w:val="0"/>
              <w:widowControl w:val="0"/>
              <w:kinsoku/>
              <w:wordWrap/>
              <w:topLinePunct w:val="0"/>
              <w:autoSpaceDE/>
              <w:autoSpaceDN/>
              <w:bidi w:val="0"/>
              <w:snapToGrid w:val="0"/>
              <w:spacing w:line="360" w:lineRule="auto"/>
              <w:jc w:val="center"/>
              <w:rPr>
                <w:rFonts w:hint="eastAsia" w:ascii="宋体" w:hAnsi="宋体" w:eastAsia="宋体" w:cs="宋体"/>
                <w:sz w:val="24"/>
                <w:szCs w:val="24"/>
              </w:rPr>
            </w:pPr>
          </w:p>
        </w:tc>
        <w:tc>
          <w:tcPr>
            <w:tcW w:w="1459" w:type="dxa"/>
            <w:vMerge w:val="continue"/>
            <w:vAlign w:val="center"/>
          </w:tcPr>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p>
        </w:tc>
        <w:tc>
          <w:tcPr>
            <w:tcW w:w="1485" w:type="dxa"/>
            <w:vAlign w:val="center"/>
          </w:tcPr>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会诊管理</w:t>
            </w:r>
          </w:p>
        </w:tc>
        <w:tc>
          <w:tcPr>
            <w:tcW w:w="5208" w:type="dxa"/>
            <w:vAlign w:val="center"/>
          </w:tcPr>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1）支持涵盖DICOM医学影像传输和图像处理门诊MDT会诊、住院MDT会诊、远程MDT会诊等远程会诊应用；</w:t>
            </w:r>
          </w:p>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2）支持MDT会诊申请，提供会诊申请及取消申请功能，支持与HIS接口获取已缴费的MDT会诊申请信息；</w:t>
            </w:r>
          </w:p>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3）支持会诊分配，MDT管理人员根据会诊申请信息，预约MDT专家，确定会诊时间；</w:t>
            </w:r>
          </w:p>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4）支持会诊信息通知，支持与医院短信平台对接，即时通知被邀请参与会诊的专家、会诊申请医生、会诊患者；</w:t>
            </w:r>
          </w:p>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5）支持会诊记录，包括会诊发起时间、会诊结束时间等；</w:t>
            </w:r>
          </w:p>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6）支持会诊报告及发放，被邀请会诊专家提交会诊意见，对已审签的会诊报告，可以通过打印机打印给患者。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794" w:type="dxa"/>
            <w:vMerge w:val="continue"/>
            <w:vAlign w:val="center"/>
          </w:tcPr>
          <w:p>
            <w:pPr>
              <w:keepNext w:val="0"/>
              <w:keepLines w:val="0"/>
              <w:pageBreakBefore w:val="0"/>
              <w:widowControl w:val="0"/>
              <w:kinsoku/>
              <w:wordWrap/>
              <w:topLinePunct w:val="0"/>
              <w:autoSpaceDE/>
              <w:autoSpaceDN/>
              <w:bidi w:val="0"/>
              <w:snapToGrid w:val="0"/>
              <w:spacing w:line="360" w:lineRule="auto"/>
              <w:jc w:val="center"/>
              <w:rPr>
                <w:rFonts w:hint="eastAsia" w:ascii="宋体" w:hAnsi="宋体" w:eastAsia="宋体" w:cs="宋体"/>
                <w:sz w:val="24"/>
                <w:szCs w:val="24"/>
              </w:rPr>
            </w:pPr>
          </w:p>
        </w:tc>
        <w:tc>
          <w:tcPr>
            <w:tcW w:w="1459" w:type="dxa"/>
            <w:vMerge w:val="continue"/>
            <w:vAlign w:val="center"/>
          </w:tcPr>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p>
        </w:tc>
        <w:tc>
          <w:tcPr>
            <w:tcW w:w="1485" w:type="dxa"/>
            <w:vAlign w:val="center"/>
          </w:tcPr>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会诊质控</w:t>
            </w:r>
          </w:p>
        </w:tc>
        <w:tc>
          <w:tcPr>
            <w:tcW w:w="5208" w:type="dxa"/>
            <w:vAlign w:val="center"/>
          </w:tcPr>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▲1）支持专人对会诊患者资料审核及质控</w:t>
            </w:r>
            <w:r>
              <w:rPr>
                <w:rFonts w:hint="eastAsia" w:ascii="宋体" w:hAnsi="宋体" w:eastAsia="宋体" w:cs="宋体"/>
                <w:b/>
                <w:bCs/>
                <w:sz w:val="24"/>
                <w:szCs w:val="24"/>
              </w:rPr>
              <w:t>（提供会诊质控相关的计算机软件著作权登记证扫描件，著作权登记时间以项目招标公告发布之日前为准）</w:t>
            </w:r>
            <w:r>
              <w:rPr>
                <w:rFonts w:hint="eastAsia" w:ascii="宋体" w:hAnsi="宋体" w:eastAsia="宋体" w:cs="宋体"/>
                <w:sz w:val="24"/>
                <w:szCs w:val="24"/>
              </w:rPr>
              <w:t>；</w:t>
            </w:r>
          </w:p>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2）支持对不符合会诊申请条件、病历资料不全等会诊申请驳回。</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794" w:type="dxa"/>
            <w:vMerge w:val="continue"/>
            <w:vAlign w:val="center"/>
          </w:tcPr>
          <w:p>
            <w:pPr>
              <w:keepNext w:val="0"/>
              <w:keepLines w:val="0"/>
              <w:pageBreakBefore w:val="0"/>
              <w:widowControl w:val="0"/>
              <w:kinsoku/>
              <w:wordWrap/>
              <w:topLinePunct w:val="0"/>
              <w:autoSpaceDE/>
              <w:autoSpaceDN/>
              <w:bidi w:val="0"/>
              <w:snapToGrid w:val="0"/>
              <w:spacing w:line="360" w:lineRule="auto"/>
              <w:jc w:val="center"/>
              <w:rPr>
                <w:rFonts w:hint="eastAsia" w:ascii="宋体" w:hAnsi="宋体" w:eastAsia="宋体" w:cs="宋体"/>
                <w:sz w:val="24"/>
                <w:szCs w:val="24"/>
              </w:rPr>
            </w:pPr>
          </w:p>
        </w:tc>
        <w:tc>
          <w:tcPr>
            <w:tcW w:w="1459" w:type="dxa"/>
            <w:vMerge w:val="continue"/>
            <w:vAlign w:val="center"/>
          </w:tcPr>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p>
        </w:tc>
        <w:tc>
          <w:tcPr>
            <w:tcW w:w="1485" w:type="dxa"/>
            <w:vAlign w:val="center"/>
          </w:tcPr>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会诊统计</w:t>
            </w:r>
          </w:p>
        </w:tc>
        <w:tc>
          <w:tcPr>
            <w:tcW w:w="5208" w:type="dxa"/>
            <w:vAlign w:val="center"/>
          </w:tcPr>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1）支持会诊申请量统计；</w:t>
            </w:r>
          </w:p>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2）支持专家会诊量统计；</w:t>
            </w:r>
          </w:p>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3）支持按病种会诊量统计；</w:t>
            </w:r>
          </w:p>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4）支持会诊统计数据可视化图形展现，以及统计数据的导出。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794" w:type="dxa"/>
            <w:vMerge w:val="continue"/>
            <w:vAlign w:val="center"/>
          </w:tcPr>
          <w:p>
            <w:pPr>
              <w:keepNext w:val="0"/>
              <w:keepLines w:val="0"/>
              <w:pageBreakBefore w:val="0"/>
              <w:widowControl w:val="0"/>
              <w:kinsoku/>
              <w:wordWrap/>
              <w:topLinePunct w:val="0"/>
              <w:autoSpaceDE/>
              <w:autoSpaceDN/>
              <w:bidi w:val="0"/>
              <w:snapToGrid w:val="0"/>
              <w:spacing w:line="360" w:lineRule="auto"/>
              <w:jc w:val="center"/>
              <w:rPr>
                <w:rFonts w:hint="eastAsia" w:ascii="宋体" w:hAnsi="宋体" w:eastAsia="宋体" w:cs="宋体"/>
                <w:sz w:val="24"/>
                <w:szCs w:val="24"/>
              </w:rPr>
            </w:pPr>
          </w:p>
        </w:tc>
        <w:tc>
          <w:tcPr>
            <w:tcW w:w="1459" w:type="dxa"/>
            <w:vMerge w:val="continue"/>
            <w:vAlign w:val="center"/>
          </w:tcPr>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p>
        </w:tc>
        <w:tc>
          <w:tcPr>
            <w:tcW w:w="1485" w:type="dxa"/>
            <w:vAlign w:val="center"/>
          </w:tcPr>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同屏会诊服务</w:t>
            </w:r>
          </w:p>
        </w:tc>
        <w:tc>
          <w:tcPr>
            <w:tcW w:w="5208" w:type="dxa"/>
            <w:vAlign w:val="center"/>
          </w:tcPr>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1）支持Windows、Android、IOS会诊终端的跨平台病历、检验、医嘱信息同步交互，支持跨平台影像同屏操作指令处理；</w:t>
            </w:r>
          </w:p>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2）支持实时建立会诊双方稳定的全双工音频通道，通过声音软件处理技术实现会诊双方的语音通讯；</w:t>
            </w:r>
          </w:p>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3）支持实时建立会诊双方稳定的高清、标清视频通道，通过视频压缩传输处理技术实现会诊双方的视频通讯。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794" w:type="dxa"/>
            <w:vMerge w:val="continue"/>
            <w:vAlign w:val="center"/>
          </w:tcPr>
          <w:p>
            <w:pPr>
              <w:keepNext w:val="0"/>
              <w:keepLines w:val="0"/>
              <w:pageBreakBefore w:val="0"/>
              <w:widowControl w:val="0"/>
              <w:kinsoku/>
              <w:wordWrap/>
              <w:topLinePunct w:val="0"/>
              <w:autoSpaceDE/>
              <w:autoSpaceDN/>
              <w:bidi w:val="0"/>
              <w:snapToGrid w:val="0"/>
              <w:spacing w:line="360" w:lineRule="auto"/>
              <w:jc w:val="center"/>
              <w:rPr>
                <w:rFonts w:hint="eastAsia" w:ascii="宋体" w:hAnsi="宋体" w:eastAsia="宋体" w:cs="宋体"/>
                <w:sz w:val="24"/>
                <w:szCs w:val="24"/>
              </w:rPr>
            </w:pPr>
          </w:p>
        </w:tc>
        <w:tc>
          <w:tcPr>
            <w:tcW w:w="1459" w:type="dxa"/>
            <w:vMerge w:val="continue"/>
            <w:vAlign w:val="center"/>
          </w:tcPr>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p>
        </w:tc>
        <w:tc>
          <w:tcPr>
            <w:tcW w:w="1485" w:type="dxa"/>
            <w:vAlign w:val="center"/>
          </w:tcPr>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移动端融合通讯服务</w:t>
            </w:r>
          </w:p>
        </w:tc>
        <w:tc>
          <w:tcPr>
            <w:tcW w:w="5208" w:type="dxa"/>
            <w:vAlign w:val="center"/>
          </w:tcPr>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1）支持通过用户通讯录创建在线病历讨论群；</w:t>
            </w:r>
          </w:p>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▲2）支持群内在线文字、语音、音视频即时交互等融合通信服务</w:t>
            </w:r>
            <w:r>
              <w:rPr>
                <w:rFonts w:hint="eastAsia" w:ascii="宋体" w:hAnsi="宋体" w:eastAsia="宋体" w:cs="宋体"/>
                <w:b/>
                <w:bCs/>
                <w:sz w:val="24"/>
                <w:szCs w:val="24"/>
              </w:rPr>
              <w:t>（提供融合通信相关的计算机软件著作权登记证扫描件，著作权登记时间以项目招标公告发布之日前为准）</w:t>
            </w:r>
            <w:r>
              <w:rPr>
                <w:rFonts w:hint="eastAsia" w:ascii="宋体" w:hAnsi="宋体" w:eastAsia="宋体" w:cs="宋体"/>
                <w:sz w:val="24"/>
                <w:szCs w:val="24"/>
              </w:rPr>
              <w:t>；</w:t>
            </w:r>
          </w:p>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3）支持病例数据调阅限时授权分享给讨论群用户，包括电子病历、影像检查、检验结果、医嘱等；</w:t>
            </w:r>
          </w:p>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4）支持群内图片、文件传输功能。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794" w:type="dxa"/>
            <w:vMerge w:val="restart"/>
            <w:vAlign w:val="center"/>
          </w:tcPr>
          <w:p>
            <w:pPr>
              <w:keepNext w:val="0"/>
              <w:keepLines w:val="0"/>
              <w:pageBreakBefore w:val="0"/>
              <w:widowControl w:val="0"/>
              <w:kinsoku/>
              <w:wordWrap/>
              <w:topLinePunct w:val="0"/>
              <w:autoSpaceDE/>
              <w:autoSpaceDN/>
              <w:bidi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1459" w:type="dxa"/>
            <w:vMerge w:val="restart"/>
            <w:vAlign w:val="center"/>
          </w:tcPr>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color w:val="000000"/>
                <w:kern w:val="0"/>
                <w:sz w:val="24"/>
                <w:szCs w:val="24"/>
              </w:rPr>
              <w:t>MDT会诊室远程同屏会诊软件</w:t>
            </w:r>
          </w:p>
        </w:tc>
        <w:tc>
          <w:tcPr>
            <w:tcW w:w="1485" w:type="dxa"/>
            <w:vAlign w:val="center"/>
          </w:tcPr>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登录检索</w:t>
            </w:r>
          </w:p>
        </w:tc>
        <w:tc>
          <w:tcPr>
            <w:tcW w:w="5208" w:type="dxa"/>
            <w:vAlign w:val="center"/>
          </w:tcPr>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1）支持会诊终端按授权用户名登录；</w:t>
            </w:r>
          </w:p>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2）支持按用户权限查询相关患者，住院患者按科室或病区分组，门诊患者按姓名、门诊号等查询；</w:t>
            </w:r>
          </w:p>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3）支持我的关注收藏患者功能。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794" w:type="dxa"/>
            <w:vMerge w:val="continue"/>
            <w:vAlign w:val="center"/>
          </w:tcPr>
          <w:p>
            <w:pPr>
              <w:keepNext w:val="0"/>
              <w:keepLines w:val="0"/>
              <w:pageBreakBefore w:val="0"/>
              <w:widowControl w:val="0"/>
              <w:kinsoku/>
              <w:wordWrap/>
              <w:topLinePunct w:val="0"/>
              <w:autoSpaceDE/>
              <w:autoSpaceDN/>
              <w:bidi w:val="0"/>
              <w:snapToGrid w:val="0"/>
              <w:spacing w:line="360" w:lineRule="auto"/>
              <w:jc w:val="center"/>
              <w:rPr>
                <w:rFonts w:hint="eastAsia" w:ascii="宋体" w:hAnsi="宋体" w:eastAsia="宋体" w:cs="宋体"/>
                <w:sz w:val="24"/>
                <w:szCs w:val="24"/>
              </w:rPr>
            </w:pPr>
          </w:p>
        </w:tc>
        <w:tc>
          <w:tcPr>
            <w:tcW w:w="1459" w:type="dxa"/>
            <w:vMerge w:val="continue"/>
            <w:vAlign w:val="center"/>
          </w:tcPr>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p>
        </w:tc>
        <w:tc>
          <w:tcPr>
            <w:tcW w:w="1485" w:type="dxa"/>
            <w:vAlign w:val="center"/>
          </w:tcPr>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诊疗数据调阅</w:t>
            </w:r>
          </w:p>
        </w:tc>
        <w:tc>
          <w:tcPr>
            <w:tcW w:w="5208" w:type="dxa"/>
            <w:vAlign w:val="center"/>
          </w:tcPr>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1）支持调阅患者的入院病历和病历记录；</w:t>
            </w:r>
          </w:p>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2）支持调阅患者诊疗期间的长期医嘱、临时医嘱；</w:t>
            </w:r>
          </w:p>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3）支持调阅患者诊疗期间的生化检验结果，对于异常值支持差异颜色字体提示；</w:t>
            </w:r>
          </w:p>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4）支持调阅患者诊疗期间放射、超声、内镜、病理影像检查已发布的诊断报告。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794" w:type="dxa"/>
            <w:vMerge w:val="continue"/>
            <w:vAlign w:val="center"/>
          </w:tcPr>
          <w:p>
            <w:pPr>
              <w:keepNext w:val="0"/>
              <w:keepLines w:val="0"/>
              <w:pageBreakBefore w:val="0"/>
              <w:widowControl w:val="0"/>
              <w:kinsoku/>
              <w:wordWrap/>
              <w:topLinePunct w:val="0"/>
              <w:autoSpaceDE/>
              <w:autoSpaceDN/>
              <w:bidi w:val="0"/>
              <w:snapToGrid w:val="0"/>
              <w:spacing w:line="360" w:lineRule="auto"/>
              <w:jc w:val="center"/>
              <w:rPr>
                <w:rFonts w:hint="eastAsia" w:ascii="宋体" w:hAnsi="宋体" w:eastAsia="宋体" w:cs="宋体"/>
                <w:sz w:val="24"/>
                <w:szCs w:val="24"/>
              </w:rPr>
            </w:pPr>
          </w:p>
        </w:tc>
        <w:tc>
          <w:tcPr>
            <w:tcW w:w="1459" w:type="dxa"/>
            <w:vMerge w:val="continue"/>
            <w:vAlign w:val="center"/>
          </w:tcPr>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p>
        </w:tc>
        <w:tc>
          <w:tcPr>
            <w:tcW w:w="1485" w:type="dxa"/>
            <w:vAlign w:val="center"/>
          </w:tcPr>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影像调阅及图像处理</w:t>
            </w:r>
          </w:p>
        </w:tc>
        <w:tc>
          <w:tcPr>
            <w:tcW w:w="5208" w:type="dxa"/>
            <w:vAlign w:val="center"/>
          </w:tcPr>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1）支持在线调阅CT、MR、CR、DR、DSA、ECT、PET/CT、数字乳腺、数字胃肠等DICOM影像；</w:t>
            </w:r>
          </w:p>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2）支持图像窗宽/窗位、移动、缩放、测量、标注等功能；</w:t>
            </w:r>
          </w:p>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3）支持CT影像播放、序列对比、MPR等图像处理功能。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794" w:type="dxa"/>
            <w:vMerge w:val="continue"/>
            <w:vAlign w:val="center"/>
          </w:tcPr>
          <w:p>
            <w:pPr>
              <w:keepNext w:val="0"/>
              <w:keepLines w:val="0"/>
              <w:pageBreakBefore w:val="0"/>
              <w:widowControl w:val="0"/>
              <w:kinsoku/>
              <w:wordWrap/>
              <w:topLinePunct w:val="0"/>
              <w:autoSpaceDE/>
              <w:autoSpaceDN/>
              <w:bidi w:val="0"/>
              <w:snapToGrid w:val="0"/>
              <w:spacing w:line="360" w:lineRule="auto"/>
              <w:jc w:val="center"/>
              <w:rPr>
                <w:rFonts w:hint="eastAsia" w:ascii="宋体" w:hAnsi="宋体" w:eastAsia="宋体" w:cs="宋体"/>
                <w:sz w:val="24"/>
                <w:szCs w:val="24"/>
              </w:rPr>
            </w:pPr>
          </w:p>
        </w:tc>
        <w:tc>
          <w:tcPr>
            <w:tcW w:w="1459" w:type="dxa"/>
            <w:vMerge w:val="continue"/>
            <w:vAlign w:val="center"/>
          </w:tcPr>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p>
        </w:tc>
        <w:tc>
          <w:tcPr>
            <w:tcW w:w="1485" w:type="dxa"/>
            <w:vAlign w:val="center"/>
          </w:tcPr>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会诊申请/记录查询</w:t>
            </w:r>
          </w:p>
        </w:tc>
        <w:tc>
          <w:tcPr>
            <w:tcW w:w="5208" w:type="dxa"/>
            <w:vAlign w:val="center"/>
          </w:tcPr>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1）支持点名会诊申请，直接从通讯录邀请会诊专家；</w:t>
            </w:r>
          </w:p>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2）支持预约会诊申请，通过中心端分配专家；</w:t>
            </w:r>
          </w:p>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3）支持提交会诊申请时，可同步将患者病历数据授权分享给被邀请专家，专家可预诊断；</w:t>
            </w:r>
          </w:p>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4）支持会诊记录查询和会诊状态显示。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794" w:type="dxa"/>
            <w:vMerge w:val="continue"/>
            <w:vAlign w:val="center"/>
          </w:tcPr>
          <w:p>
            <w:pPr>
              <w:keepNext w:val="0"/>
              <w:keepLines w:val="0"/>
              <w:pageBreakBefore w:val="0"/>
              <w:widowControl w:val="0"/>
              <w:kinsoku/>
              <w:wordWrap/>
              <w:topLinePunct w:val="0"/>
              <w:autoSpaceDE/>
              <w:autoSpaceDN/>
              <w:bidi w:val="0"/>
              <w:snapToGrid w:val="0"/>
              <w:spacing w:line="360" w:lineRule="auto"/>
              <w:jc w:val="center"/>
              <w:rPr>
                <w:rFonts w:hint="eastAsia" w:ascii="宋体" w:hAnsi="宋体" w:eastAsia="宋体" w:cs="宋体"/>
                <w:sz w:val="24"/>
                <w:szCs w:val="24"/>
              </w:rPr>
            </w:pPr>
          </w:p>
        </w:tc>
        <w:tc>
          <w:tcPr>
            <w:tcW w:w="1459" w:type="dxa"/>
            <w:vMerge w:val="continue"/>
            <w:vAlign w:val="center"/>
          </w:tcPr>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p>
        </w:tc>
        <w:tc>
          <w:tcPr>
            <w:tcW w:w="1485" w:type="dxa"/>
            <w:vAlign w:val="center"/>
          </w:tcPr>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bookmarkStart w:id="11" w:name="_Toc99724229"/>
            <w:r>
              <w:rPr>
                <w:rFonts w:hint="eastAsia" w:ascii="宋体" w:hAnsi="宋体" w:eastAsia="宋体" w:cs="宋体"/>
                <w:sz w:val="24"/>
                <w:szCs w:val="24"/>
              </w:rPr>
              <w:t>即时会诊呼叫/应答</w:t>
            </w:r>
            <w:bookmarkEnd w:id="11"/>
          </w:p>
        </w:tc>
        <w:tc>
          <w:tcPr>
            <w:tcW w:w="5208" w:type="dxa"/>
            <w:vAlign w:val="center"/>
          </w:tcPr>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1）支持邀请方即时通过通讯录，向被邀方发出会诊请求；</w:t>
            </w:r>
          </w:p>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2）支持被邀会诊即时弹出被邀窗口，显示申请会诊方；</w:t>
            </w:r>
          </w:p>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3）支持可选接受或拒绝该次会诊申请。</w:t>
            </w:r>
          </w:p>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4）支持因网络等故障导致的会诊中断，再次加入功能。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794" w:type="dxa"/>
            <w:vMerge w:val="continue"/>
            <w:vAlign w:val="center"/>
          </w:tcPr>
          <w:p>
            <w:pPr>
              <w:keepNext w:val="0"/>
              <w:keepLines w:val="0"/>
              <w:pageBreakBefore w:val="0"/>
              <w:widowControl w:val="0"/>
              <w:kinsoku/>
              <w:wordWrap/>
              <w:topLinePunct w:val="0"/>
              <w:autoSpaceDE/>
              <w:autoSpaceDN/>
              <w:bidi w:val="0"/>
              <w:snapToGrid w:val="0"/>
              <w:spacing w:line="360" w:lineRule="auto"/>
              <w:jc w:val="center"/>
              <w:rPr>
                <w:rFonts w:hint="eastAsia" w:ascii="宋体" w:hAnsi="宋体" w:eastAsia="宋体" w:cs="宋体"/>
                <w:sz w:val="24"/>
                <w:szCs w:val="24"/>
              </w:rPr>
            </w:pPr>
          </w:p>
        </w:tc>
        <w:tc>
          <w:tcPr>
            <w:tcW w:w="1459" w:type="dxa"/>
            <w:vMerge w:val="continue"/>
            <w:vAlign w:val="center"/>
          </w:tcPr>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p>
        </w:tc>
        <w:tc>
          <w:tcPr>
            <w:tcW w:w="1485" w:type="dxa"/>
            <w:vAlign w:val="center"/>
          </w:tcPr>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会诊实时同屏交互</w:t>
            </w:r>
          </w:p>
        </w:tc>
        <w:tc>
          <w:tcPr>
            <w:tcW w:w="5208" w:type="dxa"/>
            <w:vAlign w:val="center"/>
          </w:tcPr>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1）支持Android、IOS、Windows跨平台同屏会诊交互；</w:t>
            </w:r>
          </w:p>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2）支持参与会诊多方同步调阅电子病历、影像检查、检验结果、医嘱等资料；</w:t>
            </w:r>
          </w:p>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3）支持参与会诊多方影像处理交互操作和标注功能同屏显示。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794" w:type="dxa"/>
            <w:vMerge w:val="continue"/>
            <w:vAlign w:val="center"/>
          </w:tcPr>
          <w:p>
            <w:pPr>
              <w:keepNext w:val="0"/>
              <w:keepLines w:val="0"/>
              <w:pageBreakBefore w:val="0"/>
              <w:widowControl w:val="0"/>
              <w:kinsoku/>
              <w:wordWrap/>
              <w:topLinePunct w:val="0"/>
              <w:autoSpaceDE/>
              <w:autoSpaceDN/>
              <w:bidi w:val="0"/>
              <w:snapToGrid w:val="0"/>
              <w:spacing w:line="360" w:lineRule="auto"/>
              <w:jc w:val="center"/>
              <w:rPr>
                <w:rFonts w:hint="eastAsia" w:ascii="宋体" w:hAnsi="宋体" w:eastAsia="宋体" w:cs="宋体"/>
                <w:sz w:val="24"/>
                <w:szCs w:val="24"/>
              </w:rPr>
            </w:pPr>
          </w:p>
        </w:tc>
        <w:tc>
          <w:tcPr>
            <w:tcW w:w="1459" w:type="dxa"/>
            <w:vMerge w:val="continue"/>
            <w:vAlign w:val="center"/>
          </w:tcPr>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p>
        </w:tc>
        <w:tc>
          <w:tcPr>
            <w:tcW w:w="1485" w:type="dxa"/>
            <w:vAlign w:val="center"/>
          </w:tcPr>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会诊报告</w:t>
            </w:r>
          </w:p>
        </w:tc>
        <w:tc>
          <w:tcPr>
            <w:tcW w:w="5208" w:type="dxa"/>
            <w:vAlign w:val="center"/>
          </w:tcPr>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1）可查看专家会诊报告；</w:t>
            </w:r>
          </w:p>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2）支持会诊完成后，会诊方书写会诊意见；</w:t>
            </w:r>
          </w:p>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3）支持会诊报告模板可根据需求定制；</w:t>
            </w:r>
          </w:p>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4）支持会诊报告打印输出。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794" w:type="dxa"/>
            <w:vMerge w:val="restart"/>
            <w:vAlign w:val="center"/>
          </w:tcPr>
          <w:p>
            <w:pPr>
              <w:keepNext w:val="0"/>
              <w:keepLines w:val="0"/>
              <w:pageBreakBefore w:val="0"/>
              <w:widowControl w:val="0"/>
              <w:kinsoku/>
              <w:wordWrap/>
              <w:topLinePunct w:val="0"/>
              <w:autoSpaceDE/>
              <w:autoSpaceDN/>
              <w:bidi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1459" w:type="dxa"/>
            <w:vMerge w:val="restart"/>
            <w:vAlign w:val="center"/>
          </w:tcPr>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color w:val="000000"/>
                <w:kern w:val="0"/>
                <w:sz w:val="24"/>
                <w:szCs w:val="24"/>
              </w:rPr>
              <w:t>MDT APP移动会诊软件</w:t>
            </w:r>
          </w:p>
        </w:tc>
        <w:tc>
          <w:tcPr>
            <w:tcW w:w="1485" w:type="dxa"/>
            <w:vAlign w:val="center"/>
          </w:tcPr>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登录检索</w:t>
            </w:r>
          </w:p>
        </w:tc>
        <w:tc>
          <w:tcPr>
            <w:tcW w:w="5208" w:type="dxa"/>
            <w:vAlign w:val="center"/>
          </w:tcPr>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1）支持会诊终端按授权用户名登录；</w:t>
            </w:r>
          </w:p>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2）支持按用户权限查询相关患者，住院患者按科室或病区分组，门诊患者按姓名、门诊号等查询；</w:t>
            </w:r>
          </w:p>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3）支持我的关注收藏患者功能。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794" w:type="dxa"/>
            <w:vMerge w:val="continue"/>
            <w:vAlign w:val="center"/>
          </w:tcPr>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p>
        </w:tc>
        <w:tc>
          <w:tcPr>
            <w:tcW w:w="1459" w:type="dxa"/>
            <w:vMerge w:val="continue"/>
            <w:vAlign w:val="center"/>
          </w:tcPr>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p>
        </w:tc>
        <w:tc>
          <w:tcPr>
            <w:tcW w:w="1485" w:type="dxa"/>
            <w:vAlign w:val="center"/>
          </w:tcPr>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诊疗数据调阅</w:t>
            </w:r>
          </w:p>
        </w:tc>
        <w:tc>
          <w:tcPr>
            <w:tcW w:w="5208" w:type="dxa"/>
            <w:vAlign w:val="center"/>
          </w:tcPr>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1）支持调阅患者的入院病历和病历记录；</w:t>
            </w:r>
          </w:p>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2）支持调阅患者诊疗期间的长期医嘱、临时医嘱；</w:t>
            </w:r>
          </w:p>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3）支持调阅患者诊疗期间的生化检验结果，对于异常值支持差异颜色字体提示；</w:t>
            </w:r>
          </w:p>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4）支持调阅患者诊疗期间放射、超声、内镜、病理影像检查已发布的诊断报告。</w:t>
            </w:r>
          </w:p>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5）支持水印功能，安卓手机端可禁止屏幕截图功能。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794" w:type="dxa"/>
            <w:vMerge w:val="continue"/>
            <w:vAlign w:val="center"/>
          </w:tcPr>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p>
        </w:tc>
        <w:tc>
          <w:tcPr>
            <w:tcW w:w="1459" w:type="dxa"/>
            <w:vMerge w:val="continue"/>
            <w:vAlign w:val="center"/>
          </w:tcPr>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p>
        </w:tc>
        <w:tc>
          <w:tcPr>
            <w:tcW w:w="1485" w:type="dxa"/>
            <w:vAlign w:val="center"/>
          </w:tcPr>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影像调阅及图像处理</w:t>
            </w:r>
          </w:p>
        </w:tc>
        <w:tc>
          <w:tcPr>
            <w:tcW w:w="5208" w:type="dxa"/>
            <w:vAlign w:val="center"/>
          </w:tcPr>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▲1）支持CT、MR、CR、DR、DSA、ECT、PET/CT、数字乳腺、数字胃肠等DICOM影像在移动端的调阅和DICOM图像处理，DICOM影像数据无须下载</w:t>
            </w:r>
            <w:r>
              <w:rPr>
                <w:rFonts w:hint="eastAsia" w:ascii="宋体" w:hAnsi="宋体" w:eastAsia="宋体" w:cs="宋体"/>
                <w:b/>
                <w:bCs/>
                <w:sz w:val="24"/>
                <w:szCs w:val="24"/>
              </w:rPr>
              <w:t>（提供移动影像处理相关的计算机软件著作权登记证扫描件，著作权登记时间以项目招标公告发布之日前为准）</w:t>
            </w:r>
            <w:r>
              <w:rPr>
                <w:rFonts w:hint="eastAsia" w:ascii="宋体" w:hAnsi="宋体" w:eastAsia="宋体" w:cs="宋体"/>
                <w:sz w:val="24"/>
                <w:szCs w:val="24"/>
              </w:rPr>
              <w:t>；</w:t>
            </w:r>
          </w:p>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2）支持基于图像云计算的DICOM图像窗宽/窗位调节、移动、缩放等处理功能；</w:t>
            </w:r>
          </w:p>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3）支持超声、内镜、病理、心电图像显示。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794" w:type="dxa"/>
            <w:vMerge w:val="continue"/>
            <w:vAlign w:val="center"/>
          </w:tcPr>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p>
        </w:tc>
        <w:tc>
          <w:tcPr>
            <w:tcW w:w="1459" w:type="dxa"/>
            <w:vMerge w:val="continue"/>
            <w:vAlign w:val="center"/>
          </w:tcPr>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p>
        </w:tc>
        <w:tc>
          <w:tcPr>
            <w:tcW w:w="1485" w:type="dxa"/>
            <w:vAlign w:val="center"/>
          </w:tcPr>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在线病历讨论</w:t>
            </w:r>
          </w:p>
        </w:tc>
        <w:tc>
          <w:tcPr>
            <w:tcW w:w="5208" w:type="dxa"/>
            <w:vAlign w:val="center"/>
          </w:tcPr>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1）支持Android、IOS跨平台图文、语音、视音频的融合通讯功能；</w:t>
            </w:r>
          </w:p>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2）支持移动用户在线与通讯录其他用户创建多人的病例讨论群组，支持讨论群文字、语音、音视频在线即时通讯和交流；</w:t>
            </w:r>
          </w:p>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▲3）支持将患者病例授权分享到讨论群，可设置分享病例授权查看时间</w:t>
            </w:r>
            <w:r>
              <w:rPr>
                <w:rFonts w:hint="eastAsia" w:ascii="宋体" w:hAnsi="宋体" w:eastAsia="宋体" w:cs="宋体"/>
                <w:b/>
                <w:bCs/>
                <w:sz w:val="24"/>
                <w:szCs w:val="24"/>
              </w:rPr>
              <w:t>（提供病历授权查看时间设置界面的截图）</w:t>
            </w:r>
            <w:r>
              <w:rPr>
                <w:rFonts w:hint="eastAsia" w:ascii="宋体" w:hAnsi="宋体" w:eastAsia="宋体" w:cs="宋体"/>
                <w:sz w:val="24"/>
                <w:szCs w:val="24"/>
              </w:rPr>
              <w:t>；</w:t>
            </w:r>
          </w:p>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4）支持群内用户调阅分享病历资料，包括电子病历、影像检查、检验结果、医嘱等；</w:t>
            </w:r>
          </w:p>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5）支持群内用户在线同步影像处理交互操作和标注功能同屏显示。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jc w:val="center"/>
        </w:trPr>
        <w:tc>
          <w:tcPr>
            <w:tcW w:w="794" w:type="dxa"/>
            <w:vMerge w:val="continue"/>
            <w:vAlign w:val="center"/>
          </w:tcPr>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p>
        </w:tc>
        <w:tc>
          <w:tcPr>
            <w:tcW w:w="1459" w:type="dxa"/>
            <w:vMerge w:val="continue"/>
            <w:vAlign w:val="center"/>
          </w:tcPr>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p>
        </w:tc>
        <w:tc>
          <w:tcPr>
            <w:tcW w:w="1485" w:type="dxa"/>
            <w:vAlign w:val="center"/>
          </w:tcPr>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跨平台交互会诊</w:t>
            </w:r>
          </w:p>
        </w:tc>
        <w:tc>
          <w:tcPr>
            <w:tcW w:w="5208" w:type="dxa"/>
            <w:vAlign w:val="center"/>
          </w:tcPr>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1）支持即时点名会诊和预约会诊，用户可在移动端选择患者创建会诊申请单，并提交会诊申请；</w:t>
            </w:r>
          </w:p>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2）支持会诊申请提交时，会诊患者病历资料授权分享功能，支持患者病历资料分项内容可选设置；</w:t>
            </w:r>
          </w:p>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3）支持会诊申请通过后即时以会诊患者创建的会诊通讯群，被邀请专家可在群内调阅分享的会诊患者电子病历信息、检查报告和医学影像、检验结果、医嘱信息等分享的病历资料，进行预诊断；</w:t>
            </w:r>
          </w:p>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4）支持被邀请会诊专家、申请医生在会诊患者交流群中，在线交流和讨论；</w:t>
            </w:r>
          </w:p>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5）支持用户会诊记录查询和会诊状态显示；</w:t>
            </w:r>
          </w:p>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6）支持移动端在线即时视音频会诊请求即时发起和接收功能，被邀请用户终端会诊信息提醒功能；</w:t>
            </w:r>
          </w:p>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7）支持会诊电子签到功能；</w:t>
            </w:r>
          </w:p>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8）支持Android、IOS、Windows跨平台实时远程同屏交互会诊，参与会诊多方同步调阅电子病历、检查报告、检验结果、医嘱等病历信息资料，影像窗宽窗位、缩放、移动等图像处理和标注功能同屏交互显示；</w:t>
            </w:r>
          </w:p>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9）支持参与会诊移动终端多方语音、视频交互，支持多通道视音频信号同屏显示，多路混音方便在会议中进行讨论，支持多方参与者视音频控制。</w:t>
            </w:r>
          </w:p>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10）支持被邀请人在线会诊讨论结束后，会诊意见编辑和录入；</w:t>
            </w:r>
          </w:p>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11）支持会诊意见语音录入，可对接第三方语音识别软件，将语音录入转换文字报告；</w:t>
            </w:r>
          </w:p>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▲12）支持会诊意见提交时屏幕数字签名和视频认证功能</w:t>
            </w:r>
            <w:r>
              <w:rPr>
                <w:rFonts w:hint="eastAsia" w:ascii="宋体" w:hAnsi="宋体" w:eastAsia="宋体" w:cs="宋体"/>
                <w:b/>
                <w:bCs/>
                <w:sz w:val="24"/>
                <w:szCs w:val="24"/>
              </w:rPr>
              <w:t>（提供屏幕数字签名界面和视频认证界面的截图）</w:t>
            </w:r>
            <w:r>
              <w:rPr>
                <w:rFonts w:hint="eastAsia" w:ascii="宋体" w:hAnsi="宋体" w:eastAsia="宋体" w:cs="宋体"/>
                <w:sz w:val="24"/>
                <w:szCs w:val="24"/>
              </w:rPr>
              <w:t>。</w:t>
            </w:r>
          </w:p>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13）支持</w:t>
            </w:r>
            <w:r>
              <w:rPr>
                <w:rFonts w:hint="eastAsia" w:ascii="宋体" w:hAnsi="宋体" w:eastAsia="宋体" w:cs="宋体"/>
                <w:color w:val="000000"/>
                <w:kern w:val="0"/>
                <w:sz w:val="24"/>
                <w:szCs w:val="24"/>
              </w:rPr>
              <w:t>50并发用户</w:t>
            </w:r>
          </w:p>
        </w:tc>
      </w:tr>
    </w:tbl>
    <w:p>
      <w:pPr>
        <w:keepNext w:val="0"/>
        <w:keepLines w:val="0"/>
        <w:pageBreakBefore w:val="0"/>
        <w:widowControl w:val="0"/>
        <w:kinsoku/>
        <w:wordWrap/>
        <w:topLinePunct w:val="0"/>
        <w:autoSpaceDE/>
        <w:autoSpaceDN/>
        <w:bidi w:val="0"/>
        <w:spacing w:line="360" w:lineRule="auto"/>
        <w:ind w:firstLine="482" w:firstLineChars="200"/>
        <w:textAlignment w:val="baseline"/>
        <w:rPr>
          <w:rFonts w:hint="eastAsia" w:ascii="Times New Roman" w:hAnsi="Times New Roman" w:eastAsia="宋体" w:cs="宋体"/>
          <w:b/>
          <w:sz w:val="24"/>
          <w:szCs w:val="24"/>
        </w:rPr>
      </w:pPr>
      <w:r>
        <w:rPr>
          <w:rFonts w:hint="eastAsia" w:ascii="Times New Roman" w:hAnsi="Times New Roman" w:eastAsia="宋体" w:cs="宋体"/>
          <w:b/>
          <w:sz w:val="24"/>
          <w:szCs w:val="24"/>
        </w:rPr>
        <w:t>四、采购标的数量、采购项目交付或者实施的时间和地点</w:t>
      </w:r>
    </w:p>
    <w:tbl>
      <w:tblPr>
        <w:tblStyle w:val="23"/>
        <w:tblW w:w="891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57" w:type="dxa"/>
          <w:left w:w="108" w:type="dxa"/>
          <w:bottom w:w="57" w:type="dxa"/>
          <w:right w:w="108" w:type="dxa"/>
        </w:tblCellMar>
      </w:tblPr>
      <w:tblGrid>
        <w:gridCol w:w="846"/>
        <w:gridCol w:w="5980"/>
        <w:gridCol w:w="208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108" w:type="dxa"/>
            <w:bottom w:w="57" w:type="dxa"/>
            <w:right w:w="108" w:type="dxa"/>
          </w:tblCellMar>
        </w:tblPrEx>
        <w:trPr>
          <w:trHeight w:val="23"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topLinePunct w:val="0"/>
              <w:autoSpaceDE/>
              <w:autoSpaceDN/>
              <w:bidi w:val="0"/>
              <w:snapToGrid w:val="0"/>
              <w:spacing w:line="360" w:lineRule="auto"/>
              <w:jc w:val="center"/>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序号</w:t>
            </w:r>
          </w:p>
        </w:tc>
        <w:tc>
          <w:tcPr>
            <w:tcW w:w="5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topLinePunct w:val="0"/>
              <w:autoSpaceDE/>
              <w:autoSpaceDN/>
              <w:bidi w:val="0"/>
              <w:snapToGrid w:val="0"/>
              <w:spacing w:line="360" w:lineRule="auto"/>
              <w:jc w:val="center"/>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名称</w:t>
            </w:r>
          </w:p>
        </w:tc>
        <w:tc>
          <w:tcPr>
            <w:tcW w:w="20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topLinePunct w:val="0"/>
              <w:autoSpaceDE/>
              <w:autoSpaceDN/>
              <w:bidi w:val="0"/>
              <w:snapToGrid w:val="0"/>
              <w:spacing w:line="360" w:lineRule="auto"/>
              <w:jc w:val="center"/>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数量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108" w:type="dxa"/>
            <w:bottom w:w="57" w:type="dxa"/>
            <w:right w:w="108" w:type="dxa"/>
          </w:tblCellMar>
        </w:tblPrEx>
        <w:trPr>
          <w:trHeight w:val="23"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topLinePunct w:val="0"/>
              <w:autoSpaceDE/>
              <w:autoSpaceDN/>
              <w:bidi w:val="0"/>
              <w:snapToGri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5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MDT医疗数据异构集成软件</w:t>
            </w:r>
          </w:p>
        </w:tc>
        <w:tc>
          <w:tcPr>
            <w:tcW w:w="20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topLinePunct w:val="0"/>
              <w:autoSpaceDE/>
              <w:autoSpaceDN/>
              <w:bidi w:val="0"/>
              <w:snapToGri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108" w:type="dxa"/>
            <w:bottom w:w="57" w:type="dxa"/>
            <w:right w:w="108" w:type="dxa"/>
          </w:tblCellMar>
        </w:tblPrEx>
        <w:trPr>
          <w:trHeight w:val="90"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topLinePunct w:val="0"/>
              <w:autoSpaceDE/>
              <w:autoSpaceDN/>
              <w:bidi w:val="0"/>
              <w:snapToGri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5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MDT多学科会诊软件</w:t>
            </w:r>
          </w:p>
        </w:tc>
        <w:tc>
          <w:tcPr>
            <w:tcW w:w="20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topLinePunct w:val="0"/>
              <w:autoSpaceDE/>
              <w:autoSpaceDN/>
              <w:bidi w:val="0"/>
              <w:snapToGri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108" w:type="dxa"/>
            <w:bottom w:w="57" w:type="dxa"/>
            <w:right w:w="108" w:type="dxa"/>
          </w:tblCellMar>
        </w:tblPrEx>
        <w:trPr>
          <w:trHeight w:val="23"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topLinePunct w:val="0"/>
              <w:autoSpaceDE/>
              <w:autoSpaceDN/>
              <w:bidi w:val="0"/>
              <w:snapToGri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5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MDT会诊室远程同屏会诊软件</w:t>
            </w:r>
          </w:p>
        </w:tc>
        <w:tc>
          <w:tcPr>
            <w:tcW w:w="20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topLinePunct w:val="0"/>
              <w:autoSpaceDE/>
              <w:autoSpaceDN/>
              <w:bidi w:val="0"/>
              <w:snapToGri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108" w:type="dxa"/>
            <w:bottom w:w="57" w:type="dxa"/>
            <w:right w:w="108" w:type="dxa"/>
          </w:tblCellMar>
        </w:tblPrEx>
        <w:trPr>
          <w:trHeight w:val="23"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topLinePunct w:val="0"/>
              <w:autoSpaceDE/>
              <w:autoSpaceDN/>
              <w:bidi w:val="0"/>
              <w:snapToGri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5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MDT APP移动会诊软件</w:t>
            </w:r>
          </w:p>
        </w:tc>
        <w:tc>
          <w:tcPr>
            <w:tcW w:w="20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topLinePunct w:val="0"/>
              <w:autoSpaceDE/>
              <w:autoSpaceDN/>
              <w:bidi w:val="0"/>
              <w:snapToGri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1套</w:t>
            </w:r>
          </w:p>
        </w:tc>
      </w:tr>
    </w:tbl>
    <w:p>
      <w:pPr>
        <w:keepNext w:val="0"/>
        <w:keepLines w:val="0"/>
        <w:pageBreakBefore w:val="0"/>
        <w:widowControl w:val="0"/>
        <w:kinsoku/>
        <w:wordWrap/>
        <w:topLinePunct w:val="0"/>
        <w:autoSpaceDE/>
        <w:autoSpaceDN/>
        <w:bidi w:val="0"/>
        <w:spacing w:line="360" w:lineRule="auto"/>
        <w:ind w:firstLine="482" w:firstLineChars="200"/>
        <w:textAlignment w:val="baseline"/>
        <w:rPr>
          <w:rFonts w:hint="eastAsia" w:ascii="Times New Roman" w:hAnsi="Times New Roman" w:eastAsia="宋体" w:cs="宋体"/>
          <w:b/>
          <w:sz w:val="24"/>
          <w:szCs w:val="24"/>
        </w:rPr>
      </w:pPr>
      <w:r>
        <w:rPr>
          <w:rFonts w:hint="eastAsia" w:ascii="Times New Roman" w:hAnsi="Times New Roman" w:eastAsia="宋体" w:cs="宋体"/>
          <w:b/>
          <w:sz w:val="24"/>
          <w:szCs w:val="24"/>
        </w:rPr>
        <w:t>五、采购标的需满足的服务标准、期限、效率等要求</w:t>
      </w:r>
    </w:p>
    <w:p>
      <w:pPr>
        <w:keepNext w:val="0"/>
        <w:keepLines w:val="0"/>
        <w:pageBreakBefore w:val="0"/>
        <w:widowControl w:val="0"/>
        <w:kinsoku/>
        <w:wordWrap/>
        <w:topLinePunct w:val="0"/>
        <w:autoSpaceDE/>
        <w:autoSpaceDN/>
        <w:bidi w:val="0"/>
        <w:spacing w:line="360" w:lineRule="auto"/>
        <w:ind w:firstLine="494" w:firstLineChars="206"/>
        <w:textAlignment w:val="baseline"/>
        <w:rPr>
          <w:rFonts w:hint="eastAsia" w:ascii="Times New Roman" w:hAnsi="Times New Roman" w:eastAsia="宋体" w:cs="宋体"/>
          <w:bCs/>
          <w:sz w:val="24"/>
          <w:szCs w:val="24"/>
        </w:rPr>
      </w:pPr>
      <w:r>
        <w:rPr>
          <w:rFonts w:hint="eastAsia" w:ascii="Times New Roman" w:hAnsi="Times New Roman" w:eastAsia="宋体" w:cs="宋体"/>
          <w:bCs/>
          <w:sz w:val="24"/>
          <w:szCs w:val="24"/>
        </w:rPr>
        <w:t>1、合同签订日期：自中标（成交）通知书发出之日起10个工作日内按时签约。</w:t>
      </w:r>
    </w:p>
    <w:p>
      <w:pPr>
        <w:keepNext w:val="0"/>
        <w:keepLines w:val="0"/>
        <w:pageBreakBefore w:val="0"/>
        <w:widowControl w:val="0"/>
        <w:kinsoku/>
        <w:wordWrap/>
        <w:topLinePunct w:val="0"/>
        <w:autoSpaceDE/>
        <w:autoSpaceDN/>
        <w:bidi w:val="0"/>
        <w:spacing w:line="360" w:lineRule="auto"/>
        <w:ind w:firstLine="494" w:firstLineChars="206"/>
        <w:textAlignment w:val="baseline"/>
        <w:rPr>
          <w:rFonts w:hint="eastAsia" w:ascii="Times New Roman" w:hAnsi="Times New Roman" w:eastAsia="宋体" w:cs="宋体"/>
          <w:bCs/>
          <w:sz w:val="24"/>
          <w:szCs w:val="24"/>
        </w:rPr>
      </w:pPr>
      <w:r>
        <w:rPr>
          <w:rFonts w:hint="eastAsia" w:ascii="Times New Roman" w:hAnsi="Times New Roman" w:eastAsia="宋体" w:cs="宋体"/>
          <w:bCs/>
          <w:sz w:val="24"/>
          <w:szCs w:val="24"/>
        </w:rPr>
        <w:t>2、交货期：自合同签署生效之日起60个工作日内，完成系统上线并试运行。</w:t>
      </w:r>
    </w:p>
    <w:p>
      <w:pPr>
        <w:keepNext w:val="0"/>
        <w:keepLines w:val="0"/>
        <w:pageBreakBefore w:val="0"/>
        <w:widowControl w:val="0"/>
        <w:kinsoku/>
        <w:wordWrap/>
        <w:topLinePunct w:val="0"/>
        <w:autoSpaceDE/>
        <w:autoSpaceDN/>
        <w:bidi w:val="0"/>
        <w:spacing w:line="360" w:lineRule="auto"/>
        <w:ind w:firstLine="494" w:firstLineChars="206"/>
        <w:textAlignment w:val="baseline"/>
        <w:rPr>
          <w:rFonts w:hint="eastAsia" w:ascii="Times New Roman" w:hAnsi="Times New Roman" w:eastAsia="宋体" w:cs="宋体"/>
          <w:bCs/>
          <w:sz w:val="24"/>
          <w:szCs w:val="24"/>
        </w:rPr>
      </w:pPr>
      <w:r>
        <w:rPr>
          <w:rFonts w:hint="eastAsia" w:ascii="Times New Roman" w:hAnsi="Times New Roman" w:eastAsia="宋体" w:cs="宋体"/>
          <w:bCs/>
          <w:sz w:val="24"/>
          <w:szCs w:val="24"/>
        </w:rPr>
        <w:t>3、质保期限：质保期自验收合格之日起1年；保修期内软件的维保、升级等所需一切支出由</w:t>
      </w:r>
      <w:r>
        <w:rPr>
          <w:rFonts w:hint="eastAsia" w:ascii="Times New Roman" w:hAnsi="Times New Roman" w:eastAsia="宋体" w:cs="宋体"/>
          <w:bCs/>
          <w:sz w:val="24"/>
          <w:szCs w:val="24"/>
          <w:lang w:eastAsia="zh-CN"/>
        </w:rPr>
        <w:t>成交</w:t>
      </w:r>
      <w:r>
        <w:rPr>
          <w:rFonts w:hint="eastAsia" w:ascii="Times New Roman" w:hAnsi="Times New Roman" w:eastAsia="宋体" w:cs="宋体"/>
          <w:bCs/>
          <w:sz w:val="24"/>
          <w:szCs w:val="24"/>
        </w:rPr>
        <w:t>单位负责。</w:t>
      </w:r>
    </w:p>
    <w:p>
      <w:pPr>
        <w:keepNext w:val="0"/>
        <w:keepLines w:val="0"/>
        <w:pageBreakBefore w:val="0"/>
        <w:widowControl w:val="0"/>
        <w:kinsoku/>
        <w:wordWrap/>
        <w:topLinePunct w:val="0"/>
        <w:autoSpaceDE/>
        <w:autoSpaceDN/>
        <w:bidi w:val="0"/>
        <w:spacing w:line="360" w:lineRule="auto"/>
        <w:ind w:firstLine="494" w:firstLineChars="206"/>
        <w:textAlignment w:val="baseline"/>
        <w:rPr>
          <w:rFonts w:ascii="仿宋" w:hAnsi="仿宋" w:eastAsia="仿宋" w:cs="仿宋"/>
          <w:kern w:val="2"/>
        </w:rPr>
      </w:pPr>
      <w:r>
        <w:rPr>
          <w:rFonts w:hint="eastAsia" w:ascii="Times New Roman" w:hAnsi="Times New Roman" w:eastAsia="宋体" w:cs="宋体"/>
          <w:bCs/>
          <w:sz w:val="24"/>
          <w:szCs w:val="24"/>
        </w:rPr>
        <w:t>4、服务效率：质保期内，</w:t>
      </w:r>
      <w:r>
        <w:rPr>
          <w:rFonts w:hint="eastAsia" w:ascii="Times New Roman" w:hAnsi="Times New Roman" w:eastAsia="宋体" w:cs="宋体"/>
          <w:bCs/>
          <w:sz w:val="24"/>
          <w:szCs w:val="24"/>
          <w:lang w:eastAsia="zh-CN"/>
        </w:rPr>
        <w:t>响应</w:t>
      </w:r>
      <w:r>
        <w:rPr>
          <w:rFonts w:hint="eastAsia" w:ascii="Times New Roman" w:hAnsi="Times New Roman" w:eastAsia="宋体" w:cs="宋体"/>
          <w:bCs/>
          <w:sz w:val="24"/>
          <w:szCs w:val="24"/>
        </w:rPr>
        <w:t>人提供7×24小时远程服务，解答使用中遇到的问题，保证在接到通知30分钟内响应；对于通过电话、网络、远程手段无法解决的紧急问题，1小时内到达现场解决问题。</w:t>
      </w:r>
    </w:p>
    <w:p>
      <w:pPr>
        <w:keepNext w:val="0"/>
        <w:keepLines w:val="0"/>
        <w:pageBreakBefore w:val="0"/>
        <w:widowControl w:val="0"/>
        <w:kinsoku/>
        <w:wordWrap/>
        <w:topLinePunct w:val="0"/>
        <w:autoSpaceDE/>
        <w:autoSpaceDN/>
        <w:bidi w:val="0"/>
        <w:spacing w:line="360" w:lineRule="auto"/>
        <w:ind w:firstLine="496" w:firstLineChars="206"/>
        <w:textAlignment w:val="baseline"/>
        <w:rPr>
          <w:rFonts w:hint="eastAsia" w:ascii="Times New Roman" w:hAnsi="Times New Roman" w:eastAsia="宋体" w:cs="宋体"/>
          <w:b/>
          <w:sz w:val="24"/>
          <w:szCs w:val="24"/>
        </w:rPr>
      </w:pPr>
      <w:r>
        <w:rPr>
          <w:rFonts w:hint="eastAsia" w:ascii="Times New Roman" w:hAnsi="Times New Roman" w:eastAsia="宋体" w:cs="宋体"/>
          <w:b/>
          <w:sz w:val="24"/>
          <w:szCs w:val="24"/>
        </w:rPr>
        <w:t>六、采购标的验收标准</w:t>
      </w:r>
    </w:p>
    <w:p>
      <w:pPr>
        <w:keepNext w:val="0"/>
        <w:keepLines w:val="0"/>
        <w:pageBreakBefore w:val="0"/>
        <w:widowControl w:val="0"/>
        <w:kinsoku/>
        <w:wordWrap/>
        <w:topLinePunct w:val="0"/>
        <w:autoSpaceDE/>
        <w:autoSpaceDN/>
        <w:bidi w:val="0"/>
        <w:spacing w:line="360" w:lineRule="auto"/>
        <w:ind w:firstLine="494" w:firstLineChars="206"/>
        <w:textAlignment w:val="baseline"/>
        <w:rPr>
          <w:rFonts w:ascii="仿宋" w:hAnsi="仿宋" w:eastAsia="仿宋" w:cs="仿宋"/>
        </w:rPr>
      </w:pPr>
      <w:r>
        <w:rPr>
          <w:rFonts w:hint="eastAsia" w:ascii="Times New Roman" w:hAnsi="Times New Roman" w:eastAsia="宋体" w:cs="宋体"/>
          <w:bCs/>
          <w:sz w:val="24"/>
          <w:szCs w:val="24"/>
        </w:rPr>
        <w:t>供应商必须保证所供应产品为合格正品，如发现非合格产品，或产品有明显瑕疵等原因，采购人有权拒收，在相关软件安装调试完成后，采购单位将通知供应商共同组织验收。</w:t>
      </w:r>
    </w:p>
    <w:p>
      <w:pPr>
        <w:keepNext w:val="0"/>
        <w:keepLines w:val="0"/>
        <w:pageBreakBefore w:val="0"/>
        <w:widowControl w:val="0"/>
        <w:kinsoku/>
        <w:wordWrap/>
        <w:topLinePunct w:val="0"/>
        <w:autoSpaceDE/>
        <w:autoSpaceDN/>
        <w:bidi w:val="0"/>
        <w:spacing w:line="360" w:lineRule="auto"/>
        <w:ind w:firstLine="496" w:firstLineChars="206"/>
        <w:textAlignment w:val="baseline"/>
        <w:rPr>
          <w:rFonts w:hint="eastAsia" w:ascii="Times New Roman" w:hAnsi="Times New Roman" w:eastAsia="宋体" w:cs="宋体"/>
          <w:b/>
          <w:sz w:val="24"/>
          <w:szCs w:val="24"/>
        </w:rPr>
      </w:pPr>
      <w:r>
        <w:rPr>
          <w:rFonts w:hint="eastAsia" w:ascii="Times New Roman" w:hAnsi="Times New Roman" w:eastAsia="宋体" w:cs="宋体"/>
          <w:b/>
          <w:sz w:val="24"/>
          <w:szCs w:val="24"/>
        </w:rPr>
        <w:t>七、采购标的其他技术、服务等要求</w:t>
      </w:r>
    </w:p>
    <w:p>
      <w:pPr>
        <w:keepNext w:val="0"/>
        <w:keepLines w:val="0"/>
        <w:pageBreakBefore w:val="0"/>
        <w:widowControl w:val="0"/>
        <w:kinsoku/>
        <w:wordWrap/>
        <w:topLinePunct w:val="0"/>
        <w:autoSpaceDE/>
        <w:autoSpaceDN/>
        <w:bidi w:val="0"/>
        <w:spacing w:line="360" w:lineRule="auto"/>
        <w:ind w:firstLine="494" w:firstLineChars="206"/>
        <w:textAlignment w:val="baseline"/>
        <w:rPr>
          <w:rFonts w:hint="eastAsia" w:ascii="仿宋" w:hAnsi="仿宋" w:eastAsia="宋体" w:cs="仿宋"/>
          <w:lang w:eastAsia="zh-CN"/>
        </w:rPr>
      </w:pPr>
      <w:r>
        <w:rPr>
          <w:rFonts w:hint="eastAsia" w:ascii="Times New Roman" w:hAnsi="Times New Roman" w:eastAsia="宋体" w:cs="宋体"/>
          <w:bCs/>
          <w:sz w:val="24"/>
          <w:szCs w:val="24"/>
        </w:rPr>
        <w:t>无</w:t>
      </w:r>
      <w:r>
        <w:rPr>
          <w:rFonts w:hint="eastAsia" w:ascii="Times New Roman" w:hAnsi="Times New Roman" w:eastAsia="宋体" w:cs="宋体"/>
          <w:bCs/>
          <w:sz w:val="24"/>
          <w:szCs w:val="24"/>
          <w:lang w:eastAsia="zh-CN"/>
        </w:rPr>
        <w:t>。</w:t>
      </w:r>
    </w:p>
    <w:p>
      <w:pPr>
        <w:keepNext w:val="0"/>
        <w:keepLines w:val="0"/>
        <w:pageBreakBefore w:val="0"/>
        <w:widowControl w:val="0"/>
        <w:kinsoku/>
        <w:wordWrap/>
        <w:topLinePunct w:val="0"/>
        <w:autoSpaceDE/>
        <w:autoSpaceDN/>
        <w:bidi w:val="0"/>
        <w:spacing w:line="360" w:lineRule="auto"/>
        <w:ind w:firstLine="496" w:firstLineChars="206"/>
        <w:textAlignment w:val="baseline"/>
        <w:rPr>
          <w:rFonts w:hint="eastAsia" w:ascii="Times New Roman" w:hAnsi="Times New Roman" w:eastAsia="宋体" w:cs="宋体"/>
          <w:b/>
          <w:sz w:val="24"/>
          <w:szCs w:val="24"/>
        </w:rPr>
      </w:pPr>
      <w:r>
        <w:rPr>
          <w:rFonts w:hint="eastAsia" w:ascii="Times New Roman" w:hAnsi="Times New Roman" w:eastAsia="宋体" w:cs="宋体"/>
          <w:b/>
          <w:sz w:val="24"/>
          <w:szCs w:val="24"/>
        </w:rPr>
        <w:t>八、付款条件</w:t>
      </w:r>
    </w:p>
    <w:p>
      <w:pPr>
        <w:keepNext w:val="0"/>
        <w:keepLines w:val="0"/>
        <w:pageBreakBefore w:val="0"/>
        <w:widowControl w:val="0"/>
        <w:kinsoku/>
        <w:wordWrap/>
        <w:topLinePunct w:val="0"/>
        <w:autoSpaceDE/>
        <w:autoSpaceDN/>
        <w:bidi w:val="0"/>
        <w:spacing w:line="360" w:lineRule="auto"/>
        <w:ind w:firstLine="494" w:firstLineChars="206"/>
        <w:textAlignment w:val="baseline"/>
        <w:rPr>
          <w:rFonts w:hint="eastAsia" w:ascii="Times New Roman" w:hAnsi="Times New Roman" w:eastAsia="宋体" w:cs="宋体"/>
          <w:bCs/>
          <w:sz w:val="24"/>
          <w:szCs w:val="24"/>
          <w:lang w:val="en-US" w:eastAsia="zh-CN"/>
        </w:rPr>
      </w:pPr>
      <w:r>
        <w:rPr>
          <w:rFonts w:hint="eastAsia" w:ascii="Times New Roman" w:hAnsi="Times New Roman" w:eastAsia="宋体" w:cs="宋体"/>
          <w:bCs/>
          <w:sz w:val="24"/>
          <w:szCs w:val="24"/>
          <w:lang w:val="en-US" w:eastAsia="zh-CN"/>
        </w:rPr>
        <w:t>合同签订生效后15个工作日内，支付合同全款的30%；实施完毕验收合格后15个工作日内，支付合同全款的60%；余款10%在质保期满后15个工作日内付清。</w:t>
      </w:r>
    </w:p>
    <w:p>
      <w:pPr>
        <w:keepNext w:val="0"/>
        <w:keepLines w:val="0"/>
        <w:pageBreakBefore w:val="0"/>
        <w:widowControl w:val="0"/>
        <w:kinsoku/>
        <w:wordWrap/>
        <w:topLinePunct w:val="0"/>
        <w:autoSpaceDE/>
        <w:autoSpaceDN/>
        <w:bidi w:val="0"/>
        <w:snapToGrid w:val="0"/>
        <w:spacing w:line="360" w:lineRule="auto"/>
        <w:ind w:firstLine="422" w:firstLineChars="176"/>
        <w:outlineLvl w:val="1"/>
        <w:rPr>
          <w:rFonts w:ascii="Times New Roman" w:hAnsi="Times New Roman" w:eastAsia="宋体" w:cs="宋体"/>
          <w:bCs/>
          <w:sz w:val="24"/>
          <w:szCs w:val="24"/>
        </w:rPr>
      </w:pPr>
      <w:r>
        <w:rPr>
          <w:rFonts w:hint="eastAsia" w:ascii="宋体" w:hAnsi="宋体" w:cs="宋体"/>
          <w:sz w:val="24"/>
        </w:rPr>
        <w:br w:type="page"/>
      </w:r>
    </w:p>
    <w:p>
      <w:pPr>
        <w:pStyle w:val="3"/>
        <w:keepNext w:val="0"/>
        <w:keepLines w:val="0"/>
        <w:pageBreakBefore w:val="0"/>
        <w:widowControl w:val="0"/>
        <w:kinsoku/>
        <w:wordWrap/>
        <w:topLinePunct w:val="0"/>
        <w:autoSpaceDE/>
        <w:autoSpaceDN/>
        <w:bidi w:val="0"/>
        <w:spacing w:before="0" w:after="0" w:line="360" w:lineRule="auto"/>
        <w:jc w:val="center"/>
        <w:textAlignment w:val="baseline"/>
        <w:rPr>
          <w:rFonts w:ascii="Times New Roman" w:hAnsi="Times New Roman" w:eastAsia="宋体" w:cs="宋体"/>
          <w:w w:val="80"/>
          <w:sz w:val="48"/>
          <w:szCs w:val="44"/>
        </w:rPr>
      </w:pPr>
      <w:r>
        <w:rPr>
          <w:rFonts w:hint="eastAsia" w:ascii="Times New Roman" w:hAnsi="Times New Roman" w:eastAsia="宋体" w:cs="宋体"/>
          <w:w w:val="80"/>
          <w:sz w:val="48"/>
          <w:szCs w:val="44"/>
        </w:rPr>
        <w:t>第四章</w:t>
      </w:r>
      <w:bookmarkStart w:id="12" w:name="_Toc43217893"/>
      <w:bookmarkStart w:id="13" w:name="_Toc85627670"/>
      <w:bookmarkStart w:id="14" w:name="_Toc38121794"/>
      <w:bookmarkStart w:id="15" w:name="_Toc37322565"/>
      <w:bookmarkStart w:id="16" w:name="_Toc182848996"/>
      <w:r>
        <w:rPr>
          <w:rFonts w:hint="eastAsia" w:ascii="Times New Roman" w:hAnsi="Times New Roman" w:eastAsia="宋体" w:cs="宋体"/>
          <w:w w:val="80"/>
          <w:sz w:val="48"/>
          <w:szCs w:val="44"/>
        </w:rPr>
        <w:t xml:space="preserve"> 评审方法和程序</w:t>
      </w:r>
      <w:bookmarkEnd w:id="12"/>
      <w:bookmarkEnd w:id="13"/>
      <w:bookmarkEnd w:id="14"/>
      <w:bookmarkEnd w:id="15"/>
      <w:bookmarkEnd w:id="16"/>
    </w:p>
    <w:p>
      <w:pPr>
        <w:pStyle w:val="19"/>
        <w:keepNext w:val="0"/>
        <w:keepLines w:val="0"/>
        <w:pageBreakBefore w:val="0"/>
        <w:widowControl w:val="0"/>
        <w:shd w:val="clear" w:color="auto" w:fill="FFFFFF"/>
        <w:kinsoku/>
        <w:wordWrap/>
        <w:topLinePunct w:val="0"/>
        <w:autoSpaceDE/>
        <w:autoSpaceDN/>
        <w:bidi w:val="0"/>
        <w:spacing w:before="0" w:beforeAutospacing="0" w:after="0" w:afterAutospacing="0" w:line="360" w:lineRule="auto"/>
        <w:ind w:firstLine="482" w:firstLineChars="200"/>
        <w:jc w:val="both"/>
        <w:textAlignment w:val="baseline"/>
        <w:rPr>
          <w:rFonts w:ascii="Times New Roman" w:hAnsi="Times New Roman" w:cs="宋体"/>
          <w:b/>
          <w:bCs/>
          <w:szCs w:val="24"/>
          <w:shd w:val="clear" w:color="auto" w:fill="FFFFFF"/>
        </w:rPr>
      </w:pPr>
      <w:bookmarkStart w:id="17" w:name="_Toc363573857"/>
      <w:bookmarkEnd w:id="17"/>
      <w:r>
        <w:rPr>
          <w:rFonts w:hint="eastAsia" w:ascii="Times New Roman" w:hAnsi="Times New Roman" w:cs="宋体"/>
          <w:b/>
          <w:bCs/>
          <w:szCs w:val="24"/>
          <w:shd w:val="clear" w:color="auto" w:fill="FFFFFF"/>
        </w:rPr>
        <w:t>一、代理机构组织磋商</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1、本次竞争性磋商依据《中华人民共和国政府采购法》、《政府采购竞争性磋商采购人式管理暂行办法》及有关法规成立磋商小组。磋商小组由3人以上单数组成。</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2、磋商小组的职责：</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（1）磋商小组成员应当按照客观、公正、审慎的原则，根据磋商文件规定的评审程序、评审方法和评审标准进行独立评审。</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（2）磋商小组成员应当遵守评审工作纪律，不得泄露评审情况和评审中获悉的商业秘密，对个人的评审意见承担法律责任；</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（3）磋商小组成员在评审过程中发现供应商有行贿、提供虚假材料或者串通等违法行为的，应当及时向财政部门报告。</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（4）磋商小组成员在评审过程中受到非法干涉的，应当及时向财政、监察等部门举报。</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（5）配合采购单位答复供应商提出的质疑；配合财政部门的投诉处理和监督检查工作。</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3、评审有关记录由磋商小组成员签名，存档备查。</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4、供应商的法定代表人或被授权人须持身份证准时参加磋商开标会。</w:t>
      </w:r>
    </w:p>
    <w:p>
      <w:pPr>
        <w:pStyle w:val="19"/>
        <w:keepNext w:val="0"/>
        <w:keepLines w:val="0"/>
        <w:pageBreakBefore w:val="0"/>
        <w:widowControl w:val="0"/>
        <w:shd w:val="clear" w:color="auto" w:fill="FFFFFF"/>
        <w:kinsoku/>
        <w:wordWrap/>
        <w:topLinePunct w:val="0"/>
        <w:autoSpaceDE/>
        <w:autoSpaceDN/>
        <w:bidi w:val="0"/>
        <w:spacing w:before="0" w:beforeAutospacing="0" w:after="0" w:afterAutospacing="0" w:line="360" w:lineRule="auto"/>
        <w:ind w:firstLine="482" w:firstLineChars="200"/>
        <w:jc w:val="both"/>
        <w:textAlignment w:val="baseline"/>
        <w:rPr>
          <w:rFonts w:ascii="Times New Roman" w:hAnsi="Times New Roman" w:cs="宋体"/>
          <w:b/>
          <w:bCs/>
          <w:szCs w:val="24"/>
          <w:shd w:val="clear" w:color="auto" w:fill="FFFFFF"/>
        </w:rPr>
      </w:pPr>
      <w:r>
        <w:rPr>
          <w:rFonts w:hint="eastAsia" w:ascii="Times New Roman" w:hAnsi="Times New Roman" w:cs="宋体"/>
          <w:b/>
          <w:bCs/>
          <w:szCs w:val="24"/>
          <w:shd w:val="clear" w:color="auto" w:fill="FFFFFF"/>
        </w:rPr>
        <w:t>二、磋商的原则及方法</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1、磋商小组依据《中华人民共和国政府采购法》、《政府采购竞争性磋商采购人式管理暂行办法》以及有关政府采购的相关法规，遵循</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公开、公平、公正、择优、信用</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的原则进行磋商评审。</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2、磋商小组将按照竞争性磋商文件的规定，独立对每个进入打分程序的有效投标供应商的响应文件的技术部分以打分的形式进行评审和评价。技术分取算术平均值（计算结果均四舍五入保留两位小数）。</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3、磋商小组根据磋商文件规定的程序、评定成交的标准等事项与实质性响应磋商文件要求的供应商进行磋商。未实质性响应磋商文件要求的响应文件按无效处理，磋商小组应当告知提交响应文件的供应商。</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4、除非在磋商中磋商小组对采购单位需求内容作了调整增加，或对采购内容作了实质性变更，否则</w:t>
      </w:r>
      <w:r>
        <w:rPr>
          <w:rFonts w:hint="eastAsia" w:ascii="Times New Roman" w:hAnsi="Times New Roman" w:eastAsia="宋体" w:cs="宋体"/>
          <w:b/>
          <w:sz w:val="24"/>
          <w:szCs w:val="24"/>
        </w:rPr>
        <w:t>采购单位不接受供应商高于自己前一轮的磋商报价</w:t>
      </w:r>
      <w:r>
        <w:rPr>
          <w:rFonts w:hint="eastAsia" w:ascii="Times New Roman" w:hAnsi="Times New Roman" w:eastAsia="宋体" w:cs="宋体"/>
          <w:sz w:val="24"/>
          <w:szCs w:val="24"/>
        </w:rPr>
        <w:t>。</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5、对于在磋商顺利开始后至最终报价前，根据磋商情况退出磋商的供应商，须以书面形式说明退出磋商的原因，经磋商小组同意可以退出磋商。</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cs="宋体"/>
          <w:sz w:val="24"/>
          <w:szCs w:val="24"/>
        </w:rPr>
        <w:t>6、</w:t>
      </w:r>
      <w:r>
        <w:rPr>
          <w:rFonts w:hint="eastAsia" w:ascii="Times New Roman" w:hAnsi="Times New Roman" w:eastAsia="宋体"/>
          <w:sz w:val="24"/>
          <w:szCs w:val="24"/>
        </w:rPr>
        <w:t>单位负责人为同一人或者存在直接控股、管理关系的不同供应商，都不得在同一采购项目相同标段中同时参加磋商，一经发现，将视同围标处理。</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7、在磋商评审过程中，磋商小组发现供应商的报价明显低于其他供应商的报价，使得其报价可能低于其个别成本的，磋商小组有权要求该供应商作出书面说明并提供相关证明材料，供应商不能合理说明或者不能提供相关证明材料的，由磋商小组认定该供应商以低于成本报价磋商竞标。对被认定为低于成本报价磋商竞标的报价做无效报价，按无效标处理。</w:t>
      </w:r>
    </w:p>
    <w:p>
      <w:pPr>
        <w:keepNext w:val="0"/>
        <w:keepLines w:val="0"/>
        <w:pageBreakBefore w:val="0"/>
        <w:widowControl w:val="0"/>
        <w:kinsoku/>
        <w:wordWrap/>
        <w:topLinePunct w:val="0"/>
        <w:autoSpaceDE/>
        <w:autoSpaceDN/>
        <w:bidi w:val="0"/>
        <w:spacing w:line="360" w:lineRule="auto"/>
        <w:ind w:firstLine="482" w:firstLineChars="200"/>
        <w:textAlignment w:val="baseline"/>
        <w:rPr>
          <w:rFonts w:hint="eastAsia" w:ascii="Times New Roman" w:hAnsi="Times New Roman" w:eastAsia="宋体" w:cs="宋体"/>
          <w:b/>
          <w:bCs/>
          <w:color w:val="FF0000"/>
          <w:sz w:val="24"/>
          <w:szCs w:val="24"/>
        </w:rPr>
      </w:pPr>
      <w:r>
        <w:rPr>
          <w:rFonts w:hint="eastAsia" w:ascii="Times New Roman" w:hAnsi="Times New Roman" w:eastAsia="宋体" w:cs="宋体"/>
          <w:b/>
          <w:bCs/>
          <w:sz w:val="24"/>
          <w:szCs w:val="24"/>
        </w:rPr>
        <w:t>8、若采购过程中符合要求的供应商只有两家，则由磋商小组集体讨论决定是否继续进行竞争性磋商采购活动；若采购过程中符合要求的供应商只有一家，则终止本次竞争性磋商采购活动，重新开展采购活动。</w:t>
      </w:r>
    </w:p>
    <w:p>
      <w:pPr>
        <w:pStyle w:val="19"/>
        <w:keepNext w:val="0"/>
        <w:keepLines w:val="0"/>
        <w:pageBreakBefore w:val="0"/>
        <w:widowControl w:val="0"/>
        <w:shd w:val="clear" w:color="auto" w:fill="FFFFFF"/>
        <w:kinsoku/>
        <w:wordWrap/>
        <w:topLinePunct w:val="0"/>
        <w:autoSpaceDE/>
        <w:autoSpaceDN/>
        <w:bidi w:val="0"/>
        <w:spacing w:before="0" w:beforeAutospacing="0" w:after="0" w:afterAutospacing="0" w:line="360" w:lineRule="auto"/>
        <w:ind w:firstLine="482" w:firstLineChars="200"/>
        <w:jc w:val="both"/>
        <w:textAlignment w:val="baseline"/>
        <w:rPr>
          <w:rFonts w:ascii="Times New Roman" w:hAnsi="Times New Roman" w:cs="宋体"/>
          <w:b/>
          <w:bCs/>
          <w:szCs w:val="24"/>
          <w:shd w:val="clear" w:color="auto" w:fill="FFFFFF"/>
        </w:rPr>
      </w:pPr>
      <w:r>
        <w:rPr>
          <w:rFonts w:hint="eastAsia" w:ascii="Times New Roman" w:hAnsi="Times New Roman" w:cs="宋体"/>
          <w:b/>
          <w:bCs/>
          <w:szCs w:val="24"/>
          <w:shd w:val="clear" w:color="auto" w:fill="FFFFFF"/>
        </w:rPr>
        <w:t>三、磋商评定结果的方法</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w:t>
      </w:r>
      <w:r>
        <w:rPr>
          <w:rFonts w:hint="eastAsia" w:ascii="Times New Roman" w:hAnsi="Times New Roman" w:eastAsia="宋体" w:cs="宋体"/>
          <w:b/>
          <w:sz w:val="24"/>
          <w:szCs w:val="24"/>
          <w:u w:val="single"/>
        </w:rPr>
        <w:t>经磋商确定最终采购需求和提交最后报价的供应商后，</w:t>
      </w:r>
      <w:r>
        <w:rPr>
          <w:rFonts w:hint="eastAsia" w:ascii="Times New Roman" w:hAnsi="Times New Roman" w:eastAsia="宋体" w:cs="宋体"/>
          <w:sz w:val="24"/>
          <w:szCs w:val="24"/>
        </w:rPr>
        <w:t>由磋商小组采用综合评分法</w:t>
      </w:r>
      <w:r>
        <w:rPr>
          <w:rFonts w:hint="eastAsia" w:ascii="Times New Roman" w:hAnsi="Times New Roman" w:eastAsia="宋体" w:cs="宋体"/>
          <w:b/>
          <w:sz w:val="24"/>
          <w:szCs w:val="24"/>
          <w:u w:val="single"/>
        </w:rPr>
        <w:t>对提交最后报价的供应商的响应文件和最后报价</w:t>
      </w:r>
      <w:r>
        <w:rPr>
          <w:rFonts w:hint="eastAsia" w:ascii="Times New Roman" w:hAnsi="Times New Roman" w:eastAsia="宋体" w:cs="宋体"/>
          <w:sz w:val="24"/>
          <w:szCs w:val="24"/>
        </w:rPr>
        <w:t>进行综合评分。</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2、评审时，磋商小组各成员应当独立对每个有效响应的文件进行评价、打分，然后汇总每个供应商每项评分因素的得分（计算结果均四舍五入保留两位小数）。</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3、本次项目磋商的技术和报价评审总分值为100分。两部分评审因素比重如下：</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技术分值占总分值的比重为</w:t>
      </w:r>
      <w:r>
        <w:rPr>
          <w:rFonts w:hint="eastAsia" w:ascii="Times New Roman" w:hAnsi="Times New Roman" w:eastAsia="宋体" w:cs="宋体"/>
          <w:b/>
          <w:sz w:val="24"/>
          <w:szCs w:val="24"/>
          <w:u w:val="single"/>
          <w:lang w:val="en-US" w:eastAsia="zh-CN"/>
        </w:rPr>
        <w:t>80</w:t>
      </w:r>
      <w:r>
        <w:rPr>
          <w:rFonts w:hint="eastAsia" w:ascii="Times New Roman" w:hAnsi="Times New Roman" w:eastAsia="宋体" w:cs="宋体"/>
          <w:b/>
          <w:sz w:val="24"/>
          <w:szCs w:val="24"/>
          <w:u w:val="single"/>
        </w:rPr>
        <w:t>%（权重）</w:t>
      </w:r>
      <w:r>
        <w:rPr>
          <w:rFonts w:hint="eastAsia" w:ascii="Times New Roman" w:hAnsi="Times New Roman" w:eastAsia="宋体" w:cs="宋体"/>
          <w:sz w:val="24"/>
          <w:szCs w:val="24"/>
        </w:rPr>
        <w:t>（四舍五入保留两位小数）；</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报价分值占总分值的比重为</w:t>
      </w:r>
      <w:r>
        <w:rPr>
          <w:rFonts w:hint="eastAsia" w:ascii="Times New Roman" w:hAnsi="Times New Roman" w:eastAsia="宋体" w:cs="宋体"/>
          <w:b/>
          <w:sz w:val="24"/>
          <w:szCs w:val="24"/>
          <w:u w:val="single"/>
          <w:lang w:val="en-US" w:eastAsia="zh-CN"/>
        </w:rPr>
        <w:t>20</w:t>
      </w:r>
      <w:r>
        <w:rPr>
          <w:rFonts w:hint="eastAsia" w:ascii="Times New Roman" w:hAnsi="Times New Roman" w:eastAsia="宋体" w:cs="宋体"/>
          <w:b/>
          <w:sz w:val="24"/>
          <w:szCs w:val="24"/>
          <w:u w:val="single"/>
        </w:rPr>
        <w:t>%（权重）</w:t>
      </w:r>
      <w:r>
        <w:rPr>
          <w:rFonts w:hint="eastAsia" w:ascii="Times New Roman" w:hAnsi="Times New Roman" w:eastAsia="宋体" w:cs="宋体"/>
          <w:sz w:val="24"/>
          <w:szCs w:val="24"/>
        </w:rPr>
        <w:t>（四舍五入保留两位小数）。</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4、技术分按算术平均值计算，分值四舍五入保留两位小数。</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5、报价分统一采用低价优先法计算直接取得，与技术分相加为供应商的综合得分（四舍五入保留两位小数）。</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6、综合得分最高的供应商推荐为项目预成交人并出具评审磋商报告。</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7、确定成交候选人的特殊情况处理：</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（1）若总分相同，则按最终报价响应得分高者优先中标。</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（2）若总分且最终报价响应得分相同，则采取现场抽签的方式确定（投标供应商的抽签顺序分别为各投标供应商递交响应文件签到顺序号）。</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8、磋商评审时，评委对评审的细则若有争议，由磋商小组集体讨论确定，并对未尽情况有最终解释权。</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9、对落标的供应商不做落标原因的解释。</w:t>
      </w:r>
    </w:p>
    <w:p>
      <w:pPr>
        <w:pStyle w:val="19"/>
        <w:keepNext w:val="0"/>
        <w:keepLines w:val="0"/>
        <w:pageBreakBefore w:val="0"/>
        <w:widowControl w:val="0"/>
        <w:shd w:val="clear" w:color="auto" w:fill="FFFFFF"/>
        <w:kinsoku/>
        <w:wordWrap/>
        <w:topLinePunct w:val="0"/>
        <w:autoSpaceDE/>
        <w:autoSpaceDN/>
        <w:bidi w:val="0"/>
        <w:spacing w:before="0" w:beforeAutospacing="0" w:after="0" w:afterAutospacing="0" w:line="360" w:lineRule="auto"/>
        <w:ind w:firstLine="482" w:firstLineChars="200"/>
        <w:jc w:val="both"/>
        <w:textAlignment w:val="baseline"/>
        <w:rPr>
          <w:rFonts w:ascii="Times New Roman" w:hAnsi="Times New Roman" w:cs="宋体"/>
          <w:b/>
          <w:bCs/>
          <w:szCs w:val="24"/>
          <w:shd w:val="clear" w:color="auto" w:fill="FFFFFF"/>
        </w:rPr>
      </w:pPr>
      <w:r>
        <w:rPr>
          <w:rFonts w:hint="eastAsia" w:ascii="Times New Roman" w:hAnsi="Times New Roman" w:cs="宋体"/>
          <w:b/>
          <w:bCs/>
          <w:szCs w:val="24"/>
          <w:shd w:val="clear" w:color="auto" w:fill="FFFFFF"/>
        </w:rPr>
        <w:t>四、综合评分评审标准</w:t>
      </w:r>
    </w:p>
    <w:p>
      <w:pPr>
        <w:pStyle w:val="19"/>
        <w:shd w:val="clear" w:color="auto" w:fill="FFFFFF"/>
        <w:spacing w:before="0" w:beforeAutospacing="0" w:after="0" w:afterAutospacing="0" w:line="360" w:lineRule="auto"/>
        <w:ind w:firstLine="482" w:firstLineChars="200"/>
        <w:jc w:val="both"/>
        <w:textAlignment w:val="baseline"/>
        <w:rPr>
          <w:rFonts w:hint="eastAsia" w:ascii="Times New Roman" w:hAnsi="Times New Roman" w:eastAsia="宋体" w:cs="宋体"/>
          <w:b/>
          <w:bCs/>
          <w:szCs w:val="24"/>
          <w:shd w:val="clear" w:color="auto" w:fill="FFFFFF"/>
        </w:rPr>
      </w:pPr>
      <w:r>
        <w:rPr>
          <w:rFonts w:hint="eastAsia" w:ascii="Times New Roman" w:hAnsi="Times New Roman" w:eastAsia="宋体" w:cs="宋体"/>
          <w:b/>
          <w:bCs/>
          <w:szCs w:val="24"/>
          <w:shd w:val="clear" w:color="auto" w:fill="FFFFFF"/>
        </w:rPr>
        <w:t>（一）商务技术分：</w:t>
      </w:r>
      <w:r>
        <w:rPr>
          <w:rFonts w:hint="eastAsia" w:ascii="Times New Roman" w:hAnsi="Times New Roman" w:eastAsia="宋体" w:cs="宋体"/>
          <w:b/>
          <w:bCs/>
          <w:szCs w:val="24"/>
          <w:shd w:val="clear" w:color="auto" w:fill="FFFFFF"/>
          <w:lang w:val="en-US" w:eastAsia="zh-CN"/>
        </w:rPr>
        <w:t>80</w:t>
      </w:r>
      <w:r>
        <w:rPr>
          <w:rFonts w:hint="eastAsia" w:ascii="Times New Roman" w:hAnsi="Times New Roman" w:eastAsia="宋体" w:cs="宋体"/>
          <w:b/>
          <w:bCs/>
          <w:szCs w:val="24"/>
          <w:shd w:val="clear" w:color="auto" w:fill="FFFFFF"/>
        </w:rPr>
        <w:t>分</w:t>
      </w:r>
    </w:p>
    <w:tbl>
      <w:tblPr>
        <w:tblStyle w:val="24"/>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59"/>
        <w:gridCol w:w="6356"/>
        <w:gridCol w:w="80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59" w:type="dxa"/>
            <w:vAlign w:val="center"/>
          </w:tcPr>
          <w:p>
            <w:pPr>
              <w:keepNext w:val="0"/>
              <w:keepLines w:val="0"/>
              <w:pageBreakBefore w:val="0"/>
              <w:widowControl w:val="0"/>
              <w:kinsoku/>
              <w:wordWrap/>
              <w:topLinePunct w:val="0"/>
              <w:autoSpaceDE/>
              <w:autoSpaceDN/>
              <w:bidi w:val="0"/>
              <w:snapToGrid w:val="0"/>
              <w:spacing w:line="360" w:lineRule="auto"/>
              <w:jc w:val="center"/>
              <w:rPr>
                <w:rFonts w:hint="eastAsia" w:ascii="宋体" w:hAnsi="宋体" w:eastAsia="宋体" w:cs="宋体"/>
                <w:b/>
                <w:bCs/>
                <w:spacing w:val="20"/>
                <w:sz w:val="24"/>
                <w:szCs w:val="24"/>
              </w:rPr>
            </w:pPr>
            <w:r>
              <w:rPr>
                <w:rFonts w:hint="eastAsia" w:ascii="宋体" w:hAnsi="宋体" w:eastAsia="宋体" w:cs="宋体"/>
                <w:b/>
                <w:bCs/>
                <w:spacing w:val="20"/>
                <w:sz w:val="24"/>
                <w:szCs w:val="24"/>
              </w:rPr>
              <w:t>评审条款</w:t>
            </w:r>
          </w:p>
        </w:tc>
        <w:tc>
          <w:tcPr>
            <w:tcW w:w="6356" w:type="dxa"/>
            <w:vAlign w:val="center"/>
          </w:tcPr>
          <w:p>
            <w:pPr>
              <w:keepNext w:val="0"/>
              <w:keepLines w:val="0"/>
              <w:pageBreakBefore w:val="0"/>
              <w:widowControl w:val="0"/>
              <w:kinsoku/>
              <w:wordWrap/>
              <w:topLinePunct w:val="0"/>
              <w:autoSpaceDE/>
              <w:autoSpaceDN/>
              <w:bidi w:val="0"/>
              <w:snapToGrid w:val="0"/>
              <w:spacing w:line="360" w:lineRule="auto"/>
              <w:jc w:val="center"/>
              <w:rPr>
                <w:rFonts w:hint="eastAsia" w:ascii="宋体" w:hAnsi="宋体" w:eastAsia="宋体" w:cs="宋体"/>
                <w:b/>
                <w:bCs/>
                <w:spacing w:val="20"/>
                <w:sz w:val="24"/>
                <w:szCs w:val="24"/>
              </w:rPr>
            </w:pPr>
            <w:r>
              <w:rPr>
                <w:rFonts w:hint="eastAsia" w:ascii="宋体" w:hAnsi="宋体" w:eastAsia="宋体" w:cs="宋体"/>
                <w:b/>
                <w:bCs/>
                <w:spacing w:val="20"/>
                <w:sz w:val="24"/>
                <w:szCs w:val="24"/>
              </w:rPr>
              <w:t>评审标准</w:t>
            </w:r>
          </w:p>
        </w:tc>
        <w:tc>
          <w:tcPr>
            <w:tcW w:w="805" w:type="dxa"/>
            <w:vAlign w:val="center"/>
          </w:tcPr>
          <w:p>
            <w:pPr>
              <w:keepNext w:val="0"/>
              <w:keepLines w:val="0"/>
              <w:pageBreakBefore w:val="0"/>
              <w:widowControl w:val="0"/>
              <w:kinsoku/>
              <w:wordWrap/>
              <w:topLinePunct w:val="0"/>
              <w:autoSpaceDE/>
              <w:autoSpaceDN/>
              <w:bidi w:val="0"/>
              <w:snapToGrid w:val="0"/>
              <w:spacing w:line="360" w:lineRule="auto"/>
              <w:jc w:val="center"/>
              <w:rPr>
                <w:rFonts w:hint="eastAsia" w:ascii="宋体" w:hAnsi="宋体" w:eastAsia="宋体" w:cs="宋体"/>
                <w:b/>
                <w:bCs/>
                <w:spacing w:val="20"/>
                <w:sz w:val="24"/>
                <w:szCs w:val="24"/>
              </w:rPr>
            </w:pPr>
            <w:r>
              <w:rPr>
                <w:rFonts w:hint="eastAsia" w:ascii="宋体" w:hAnsi="宋体" w:eastAsia="宋体" w:cs="宋体"/>
                <w:b/>
                <w:bCs/>
                <w:spacing w:val="20"/>
                <w:sz w:val="24"/>
                <w:szCs w:val="24"/>
              </w:rPr>
              <w:t>分值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59" w:type="dxa"/>
            <w:vAlign w:val="center"/>
          </w:tcPr>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技术功能参数响应情况</w:t>
            </w:r>
          </w:p>
        </w:tc>
        <w:tc>
          <w:tcPr>
            <w:tcW w:w="6356" w:type="dxa"/>
            <w:vAlign w:val="center"/>
          </w:tcPr>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根据产品技术指标响应程度打分，所投产品全部满足或优于招标文件技术参数要求的得4</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带</w:t>
            </w:r>
            <w:r>
              <w:rPr>
                <w:rFonts w:hint="eastAsia" w:ascii="宋体" w:hAnsi="宋体" w:eastAsia="宋体" w:cs="宋体"/>
                <w:sz w:val="24"/>
                <w:szCs w:val="24"/>
                <w:lang w:eastAsia="zh-CN"/>
              </w:rPr>
              <w:t>“</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rPr>
              <w:t>的主要技术参数每负偏离一项扣2分；</w:t>
            </w:r>
          </w:p>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非</w:t>
            </w:r>
            <w:r>
              <w:rPr>
                <w:rFonts w:hint="eastAsia" w:ascii="宋体" w:hAnsi="宋体" w:eastAsia="宋体" w:cs="宋体"/>
                <w:sz w:val="24"/>
                <w:szCs w:val="24"/>
                <w:lang w:eastAsia="zh-CN"/>
              </w:rPr>
              <w:t>“</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rPr>
              <w:t>技术参数每负偏离一项扣1分，扣完为止。</w:t>
            </w:r>
          </w:p>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（主要技术参数按招标文件须提供对应的软件著作权证书或界面截图证明材料的，不提供或者提供证明材料不满足技术要求的作负偏离处理。）</w:t>
            </w:r>
          </w:p>
        </w:tc>
        <w:tc>
          <w:tcPr>
            <w:tcW w:w="805" w:type="dxa"/>
            <w:vAlign w:val="center"/>
          </w:tcPr>
          <w:p>
            <w:pPr>
              <w:keepNext w:val="0"/>
              <w:keepLines w:val="0"/>
              <w:pageBreakBefore w:val="0"/>
              <w:widowControl w:val="0"/>
              <w:kinsoku/>
              <w:wordWrap/>
              <w:topLinePunct w:val="0"/>
              <w:autoSpaceDE/>
              <w:autoSpaceDN/>
              <w:bidi w:val="0"/>
              <w:snapToGrid w:val="0"/>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rPr>
              <w:t>4</w:t>
            </w:r>
            <w:r>
              <w:rPr>
                <w:rFonts w:hint="eastAsia" w:ascii="宋体" w:hAnsi="宋体" w:eastAsia="宋体" w:cs="宋体"/>
                <w:sz w:val="24"/>
                <w:szCs w:val="24"/>
                <w:lang w:val="en-US" w:eastAsia="zh-CN"/>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59" w:type="dxa"/>
            <w:vAlign w:val="center"/>
          </w:tcPr>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企业资质</w:t>
            </w:r>
          </w:p>
        </w:tc>
        <w:tc>
          <w:tcPr>
            <w:tcW w:w="6356" w:type="dxa"/>
            <w:vAlign w:val="center"/>
          </w:tcPr>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lang w:eastAsia="zh-CN"/>
              </w:rPr>
              <w:t>响应</w:t>
            </w:r>
            <w:r>
              <w:rPr>
                <w:rFonts w:hint="eastAsia" w:ascii="宋体" w:hAnsi="宋体" w:eastAsia="宋体" w:cs="宋体"/>
                <w:sz w:val="24"/>
                <w:szCs w:val="24"/>
              </w:rPr>
              <w:t>人或软件制造商具有有效期内的以下所有证书的：</w:t>
            </w:r>
          </w:p>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1、ISO9001质量管理体系认证证书（认证范围含计算机软件开发），得1分；</w:t>
            </w:r>
          </w:p>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2、ISO27001信息安全管理体系认证证书（认证范围含计算机软件开发），得1分；</w:t>
            </w:r>
          </w:p>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3、知识产权管理体系认证证书（认证范围含计算机软件开发），得2分。</w:t>
            </w:r>
          </w:p>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备注：</w:t>
            </w:r>
          </w:p>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kern w:val="0"/>
                <w:sz w:val="24"/>
                <w:szCs w:val="24"/>
              </w:rPr>
              <w:t>提供与</w:t>
            </w:r>
            <w:r>
              <w:rPr>
                <w:rFonts w:hint="eastAsia" w:ascii="宋体" w:hAnsi="宋体" w:eastAsia="宋体" w:cs="宋体"/>
                <w:sz w:val="24"/>
                <w:szCs w:val="24"/>
                <w:lang w:eastAsia="zh-CN"/>
              </w:rPr>
              <w:t>响应</w:t>
            </w:r>
            <w:r>
              <w:rPr>
                <w:rFonts w:hint="eastAsia" w:ascii="宋体" w:hAnsi="宋体" w:eastAsia="宋体" w:cs="宋体"/>
                <w:sz w:val="24"/>
                <w:szCs w:val="24"/>
              </w:rPr>
              <w:t>人</w:t>
            </w:r>
            <w:r>
              <w:rPr>
                <w:rFonts w:hint="eastAsia" w:ascii="宋体" w:hAnsi="宋体" w:eastAsia="宋体" w:cs="宋体"/>
                <w:kern w:val="0"/>
                <w:sz w:val="24"/>
                <w:szCs w:val="24"/>
              </w:rPr>
              <w:t>或软件制造商名称一致的有效期内有效的证书复印件并加盖</w:t>
            </w:r>
            <w:r>
              <w:rPr>
                <w:rFonts w:hint="eastAsia" w:ascii="宋体" w:hAnsi="宋体" w:eastAsia="宋体" w:cs="宋体"/>
                <w:sz w:val="24"/>
                <w:szCs w:val="24"/>
                <w:lang w:eastAsia="zh-CN"/>
              </w:rPr>
              <w:t>响应</w:t>
            </w:r>
            <w:r>
              <w:rPr>
                <w:rFonts w:hint="eastAsia" w:ascii="宋体" w:hAnsi="宋体" w:eastAsia="宋体" w:cs="宋体"/>
                <w:sz w:val="24"/>
                <w:szCs w:val="24"/>
              </w:rPr>
              <w:t>人</w:t>
            </w:r>
            <w:r>
              <w:rPr>
                <w:rFonts w:hint="eastAsia" w:ascii="宋体" w:hAnsi="宋体" w:eastAsia="宋体" w:cs="宋体"/>
                <w:kern w:val="0"/>
                <w:sz w:val="24"/>
                <w:szCs w:val="24"/>
              </w:rPr>
              <w:t>公章。（换证期内的需提供颁发机构出具的换证证明）</w:t>
            </w:r>
          </w:p>
        </w:tc>
        <w:tc>
          <w:tcPr>
            <w:tcW w:w="805" w:type="dxa"/>
            <w:vAlign w:val="center"/>
          </w:tcPr>
          <w:p>
            <w:pPr>
              <w:keepNext w:val="0"/>
              <w:keepLines w:val="0"/>
              <w:pageBreakBefore w:val="0"/>
              <w:widowControl w:val="0"/>
              <w:kinsoku/>
              <w:wordWrap/>
              <w:topLinePunct w:val="0"/>
              <w:autoSpaceDE/>
              <w:autoSpaceDN/>
              <w:bidi w:val="0"/>
              <w:snapToGrid w:val="0"/>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59" w:type="dxa"/>
            <w:vAlign w:val="center"/>
          </w:tcPr>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所投软件成熟度</w:t>
            </w:r>
          </w:p>
        </w:tc>
        <w:tc>
          <w:tcPr>
            <w:tcW w:w="6356" w:type="dxa"/>
            <w:vAlign w:val="center"/>
          </w:tcPr>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lang w:eastAsia="zh-CN"/>
              </w:rPr>
              <w:t>响应</w:t>
            </w:r>
            <w:r>
              <w:rPr>
                <w:rFonts w:hint="eastAsia" w:ascii="宋体" w:hAnsi="宋体" w:eastAsia="宋体" w:cs="宋体"/>
                <w:sz w:val="24"/>
                <w:szCs w:val="24"/>
              </w:rPr>
              <w:t>人提供所投MDT多学科会诊软件、同屏会诊软件、异构集成软件、移动会诊软件相关的计算机著作权登记证和软件测试报告复印件，每提供一个计算机软件著作权登记证和软件测试报告得1.5分，最高得6分，软件名称不相关不得分。</w:t>
            </w:r>
          </w:p>
        </w:tc>
        <w:tc>
          <w:tcPr>
            <w:tcW w:w="805" w:type="dxa"/>
            <w:vAlign w:val="center"/>
          </w:tcPr>
          <w:p>
            <w:pPr>
              <w:keepNext w:val="0"/>
              <w:keepLines w:val="0"/>
              <w:pageBreakBefore w:val="0"/>
              <w:widowControl w:val="0"/>
              <w:kinsoku/>
              <w:wordWrap/>
              <w:topLinePunct w:val="0"/>
              <w:autoSpaceDE/>
              <w:autoSpaceDN/>
              <w:bidi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59" w:type="dxa"/>
            <w:vAlign w:val="center"/>
          </w:tcPr>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同类业绩证明</w:t>
            </w:r>
          </w:p>
        </w:tc>
        <w:tc>
          <w:tcPr>
            <w:tcW w:w="6356" w:type="dxa"/>
            <w:vAlign w:val="center"/>
          </w:tcPr>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lang w:eastAsia="zh-CN"/>
              </w:rPr>
              <w:t>响应</w:t>
            </w:r>
            <w:r>
              <w:rPr>
                <w:rFonts w:hint="eastAsia" w:ascii="宋体" w:hAnsi="宋体" w:eastAsia="宋体" w:cs="宋体"/>
                <w:sz w:val="24"/>
                <w:szCs w:val="24"/>
              </w:rPr>
              <w:t>人提供所投MDT会诊产品近三年来项目业绩合同，每提供一份有效合同复印件的得2分，最高不超过6分，无证明不得分。合同复印件至少包含了首页、反映采购内容页、签字盖章、合同签署时间信息等内容。</w:t>
            </w:r>
          </w:p>
        </w:tc>
        <w:tc>
          <w:tcPr>
            <w:tcW w:w="805" w:type="dxa"/>
            <w:vAlign w:val="center"/>
          </w:tcPr>
          <w:p>
            <w:pPr>
              <w:keepNext w:val="0"/>
              <w:keepLines w:val="0"/>
              <w:pageBreakBefore w:val="0"/>
              <w:widowControl w:val="0"/>
              <w:kinsoku/>
              <w:wordWrap/>
              <w:topLinePunct w:val="0"/>
              <w:autoSpaceDE/>
              <w:autoSpaceDN/>
              <w:bidi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59" w:type="dxa"/>
            <w:vAlign w:val="center"/>
          </w:tcPr>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项目实施技术力量</w:t>
            </w:r>
          </w:p>
        </w:tc>
        <w:tc>
          <w:tcPr>
            <w:tcW w:w="6356" w:type="dxa"/>
            <w:vAlign w:val="center"/>
          </w:tcPr>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1、项目经理具有高级信息系统项目管理师证书和PMP证书，得3分；</w:t>
            </w:r>
          </w:p>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2、项目组成员至少一人具有中级系统集成项目管理工程师证书，得2分；</w:t>
            </w:r>
          </w:p>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3、项目组成员至少一人具有软件设计师证书得1分。</w:t>
            </w:r>
          </w:p>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kern w:val="0"/>
                <w:sz w:val="24"/>
                <w:szCs w:val="24"/>
              </w:rPr>
              <w:t>注：同一人持有多项证书按一项计算得分，若一人同时持有上述证书，则按照上述顺序优先计算得分。提供以上相关资质证书复印件以及2023年9月至今任意连续3个月在投标人单位或软件制造商单位购买社保或缴纳个人所得税的证明文件复印件。</w:t>
            </w:r>
          </w:p>
        </w:tc>
        <w:tc>
          <w:tcPr>
            <w:tcW w:w="805" w:type="dxa"/>
            <w:vAlign w:val="center"/>
          </w:tcPr>
          <w:p>
            <w:pPr>
              <w:keepNext w:val="0"/>
              <w:keepLines w:val="0"/>
              <w:pageBreakBefore w:val="0"/>
              <w:widowControl w:val="0"/>
              <w:kinsoku/>
              <w:wordWrap/>
              <w:topLinePunct w:val="0"/>
              <w:autoSpaceDE/>
              <w:autoSpaceDN/>
              <w:bidi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99" w:hRule="atLeast"/>
          <w:jc w:val="center"/>
        </w:trPr>
        <w:tc>
          <w:tcPr>
            <w:tcW w:w="1559" w:type="dxa"/>
            <w:vAlign w:val="center"/>
          </w:tcPr>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项目实施方案</w:t>
            </w:r>
          </w:p>
        </w:tc>
        <w:tc>
          <w:tcPr>
            <w:tcW w:w="6356" w:type="dxa"/>
            <w:vAlign w:val="center"/>
          </w:tcPr>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根据</w:t>
            </w:r>
            <w:r>
              <w:rPr>
                <w:rFonts w:hint="eastAsia" w:ascii="宋体" w:hAnsi="宋体" w:eastAsia="宋体" w:cs="宋体"/>
                <w:sz w:val="24"/>
                <w:szCs w:val="24"/>
                <w:lang w:eastAsia="zh-CN"/>
              </w:rPr>
              <w:t>响应</w:t>
            </w:r>
            <w:r>
              <w:rPr>
                <w:rFonts w:hint="eastAsia" w:ascii="宋体" w:hAnsi="宋体" w:eastAsia="宋体" w:cs="宋体"/>
                <w:sz w:val="24"/>
                <w:szCs w:val="24"/>
              </w:rPr>
              <w:t>人项目实施方案评分：</w:t>
            </w:r>
          </w:p>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（1）实施方案内容全面，配备的人员能够很好满足项目实施且分工明确合理，能够有效保障项目进度是项目进度优于采购人要求得6-8分；</w:t>
            </w:r>
          </w:p>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（2）实施方案较全面，配备的人员情况一般分工较明确，能够保障项目按采购人要求完成，得3-5分；</w:t>
            </w:r>
          </w:p>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（3）实施方案较片面，配备的人员情况较差，分工不明确，勉强能够保障项目按采购人要求完成，得1-2分。</w:t>
            </w:r>
          </w:p>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（4）不提供不得分。</w:t>
            </w:r>
          </w:p>
        </w:tc>
        <w:tc>
          <w:tcPr>
            <w:tcW w:w="805" w:type="dxa"/>
            <w:vAlign w:val="center"/>
          </w:tcPr>
          <w:p>
            <w:pPr>
              <w:keepNext w:val="0"/>
              <w:keepLines w:val="0"/>
              <w:pageBreakBefore w:val="0"/>
              <w:widowControl w:val="0"/>
              <w:kinsoku/>
              <w:wordWrap/>
              <w:topLinePunct w:val="0"/>
              <w:autoSpaceDE/>
              <w:autoSpaceDN/>
              <w:bidi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59" w:type="dxa"/>
            <w:vAlign w:val="center"/>
          </w:tcPr>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培训方案</w:t>
            </w:r>
          </w:p>
        </w:tc>
        <w:tc>
          <w:tcPr>
            <w:tcW w:w="6356" w:type="dxa"/>
            <w:vAlign w:val="center"/>
          </w:tcPr>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根据</w:t>
            </w:r>
            <w:r>
              <w:rPr>
                <w:rFonts w:hint="eastAsia" w:ascii="宋体" w:hAnsi="宋体" w:eastAsia="宋体" w:cs="宋体"/>
                <w:sz w:val="24"/>
                <w:szCs w:val="24"/>
                <w:lang w:eastAsia="zh-CN"/>
              </w:rPr>
              <w:t>响应</w:t>
            </w:r>
            <w:r>
              <w:rPr>
                <w:rFonts w:hint="eastAsia" w:ascii="宋体" w:hAnsi="宋体" w:eastAsia="宋体" w:cs="宋体"/>
                <w:sz w:val="24"/>
                <w:szCs w:val="24"/>
              </w:rPr>
              <w:t>人培训方案评分：</w:t>
            </w:r>
          </w:p>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响应</w:t>
            </w:r>
            <w:r>
              <w:rPr>
                <w:rFonts w:hint="eastAsia" w:ascii="宋体" w:hAnsi="宋体" w:eastAsia="宋体" w:cs="宋体"/>
                <w:sz w:val="24"/>
                <w:szCs w:val="24"/>
              </w:rPr>
              <w:t>人培训方案内容全面，时效性高，满足或优于采购要求得4-5分；</w:t>
            </w:r>
          </w:p>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响应</w:t>
            </w:r>
            <w:r>
              <w:rPr>
                <w:rFonts w:hint="eastAsia" w:ascii="宋体" w:hAnsi="宋体" w:eastAsia="宋体" w:cs="宋体"/>
                <w:sz w:val="24"/>
                <w:szCs w:val="24"/>
              </w:rPr>
              <w:t>人培训方案内容较全面，时效性较高，基本满足采购要求，得2-3分；</w:t>
            </w:r>
          </w:p>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响应</w:t>
            </w:r>
            <w:r>
              <w:rPr>
                <w:rFonts w:hint="eastAsia" w:ascii="宋体" w:hAnsi="宋体" w:eastAsia="宋体" w:cs="宋体"/>
                <w:sz w:val="24"/>
                <w:szCs w:val="24"/>
              </w:rPr>
              <w:t>人培训方案培训内容有缺陷，时效性差，得1分。</w:t>
            </w:r>
          </w:p>
          <w:p>
            <w:pPr>
              <w:keepNext w:val="0"/>
              <w:keepLines w:val="0"/>
              <w:pageBreakBefore w:val="0"/>
              <w:widowControl w:val="0"/>
              <w:kinsoku/>
              <w:wordWrap/>
              <w:topLinePunct w:val="0"/>
              <w:autoSpaceDE/>
              <w:autoSpaceDN/>
              <w:bidi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（4）不提供不得分。</w:t>
            </w:r>
          </w:p>
        </w:tc>
        <w:tc>
          <w:tcPr>
            <w:tcW w:w="805" w:type="dxa"/>
            <w:vAlign w:val="center"/>
          </w:tcPr>
          <w:p>
            <w:pPr>
              <w:keepNext w:val="0"/>
              <w:keepLines w:val="0"/>
              <w:pageBreakBefore w:val="0"/>
              <w:widowControl w:val="0"/>
              <w:kinsoku/>
              <w:wordWrap/>
              <w:topLinePunct w:val="0"/>
              <w:autoSpaceDE/>
              <w:autoSpaceDN/>
              <w:bidi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5</w:t>
            </w:r>
          </w:p>
        </w:tc>
      </w:tr>
    </w:tbl>
    <w:p>
      <w:pPr>
        <w:keepNext w:val="0"/>
        <w:keepLines w:val="0"/>
        <w:pageBreakBefore w:val="0"/>
        <w:widowControl w:val="0"/>
        <w:kinsoku/>
        <w:wordWrap/>
        <w:topLinePunct w:val="0"/>
        <w:autoSpaceDE/>
        <w:autoSpaceDN/>
        <w:bidi w:val="0"/>
        <w:spacing w:line="360" w:lineRule="auto"/>
        <w:ind w:right="105" w:rightChars="5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评委依据磋商文件载明的方法评分，评分四舍五入精确到小数点后两位。</w:t>
      </w:r>
    </w:p>
    <w:p>
      <w:pPr>
        <w:keepNext w:val="0"/>
        <w:keepLines w:val="0"/>
        <w:pageBreakBefore w:val="0"/>
        <w:widowControl w:val="0"/>
        <w:kinsoku/>
        <w:wordWrap/>
        <w:topLinePunct w:val="0"/>
        <w:autoSpaceDE/>
        <w:autoSpaceDN/>
        <w:bidi w:val="0"/>
        <w:spacing w:line="360" w:lineRule="auto"/>
        <w:ind w:right="105" w:rightChars="5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响应供应商按照</w:t>
      </w:r>
      <w:r>
        <w:rPr>
          <w:rFonts w:hint="eastAsia" w:ascii="宋体" w:hAnsi="宋体" w:eastAsia="宋体" w:cs="宋体"/>
          <w:sz w:val="24"/>
          <w:szCs w:val="24"/>
          <w:lang w:eastAsia="zh-CN"/>
        </w:rPr>
        <w:t>“</w:t>
      </w:r>
      <w:r>
        <w:rPr>
          <w:rFonts w:hint="eastAsia" w:ascii="宋体" w:hAnsi="宋体" w:eastAsia="宋体" w:cs="宋体"/>
          <w:sz w:val="24"/>
          <w:szCs w:val="24"/>
        </w:rPr>
        <w:t>评分标准表</w:t>
      </w:r>
      <w:r>
        <w:rPr>
          <w:rFonts w:hint="eastAsia" w:ascii="宋体" w:hAnsi="宋体" w:eastAsia="宋体" w:cs="宋体"/>
          <w:sz w:val="24"/>
          <w:szCs w:val="24"/>
          <w:lang w:eastAsia="zh-CN"/>
        </w:rPr>
        <w:t>”</w:t>
      </w:r>
      <w:r>
        <w:rPr>
          <w:rFonts w:hint="eastAsia" w:ascii="宋体" w:hAnsi="宋体" w:eastAsia="宋体" w:cs="宋体"/>
          <w:sz w:val="24"/>
          <w:szCs w:val="24"/>
        </w:rPr>
        <w:t>中的打分要求及顺序提供相关材料，</w:t>
      </w:r>
      <w:r>
        <w:rPr>
          <w:rFonts w:hint="eastAsia" w:ascii="宋体" w:hAnsi="宋体" w:eastAsia="宋体" w:cs="宋体"/>
          <w:bCs/>
          <w:color w:val="000000"/>
          <w:kern w:val="0"/>
          <w:sz w:val="24"/>
          <w:szCs w:val="24"/>
        </w:rPr>
        <w:t>并请编制目录及页码，以最大限度的避免造成评委误判或漏判。</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bCs/>
          <w:color w:val="000000"/>
          <w:kern w:val="0"/>
          <w:sz w:val="24"/>
          <w:szCs w:val="24"/>
          <w:lang w:val="en-US" w:eastAsia="zh-CN"/>
        </w:rPr>
        <w:t>3</w:t>
      </w:r>
      <w:r>
        <w:rPr>
          <w:rFonts w:hint="eastAsia" w:ascii="宋体" w:hAnsi="宋体" w:eastAsia="宋体" w:cs="宋体"/>
          <w:bCs/>
          <w:color w:val="000000"/>
          <w:kern w:val="0"/>
          <w:sz w:val="24"/>
          <w:szCs w:val="24"/>
          <w:lang w:eastAsia="zh-CN"/>
        </w:rPr>
        <w:t>、</w:t>
      </w:r>
      <w:r>
        <w:rPr>
          <w:rFonts w:hint="eastAsia" w:ascii="宋体" w:hAnsi="宋体" w:eastAsia="宋体" w:cs="宋体"/>
          <w:b/>
          <w:sz w:val="24"/>
          <w:szCs w:val="24"/>
        </w:rPr>
        <w:t>以上证明材料提供原件复印件，复印件不清晰或关键内容无法辨识所引起的后果由响应供应商自行承担。</w:t>
      </w:r>
    </w:p>
    <w:p>
      <w:pPr>
        <w:pStyle w:val="19"/>
        <w:shd w:val="clear" w:color="auto" w:fill="FFFFFF"/>
        <w:spacing w:before="0" w:beforeAutospacing="0" w:after="0" w:afterAutospacing="0" w:line="360" w:lineRule="auto"/>
        <w:ind w:firstLine="482" w:firstLineChars="200"/>
        <w:jc w:val="both"/>
        <w:textAlignment w:val="baseline"/>
        <w:rPr>
          <w:rFonts w:hint="eastAsia" w:ascii="Times New Roman" w:hAnsi="Times New Roman" w:eastAsia="宋体" w:cs="宋体"/>
          <w:b/>
          <w:bCs/>
          <w:szCs w:val="24"/>
          <w:shd w:val="clear" w:color="auto" w:fill="FFFFFF"/>
        </w:rPr>
      </w:pPr>
      <w:r>
        <w:rPr>
          <w:rFonts w:hint="eastAsia" w:ascii="Times New Roman" w:hAnsi="Times New Roman" w:eastAsia="宋体" w:cs="宋体"/>
          <w:b/>
          <w:bCs/>
          <w:szCs w:val="24"/>
          <w:shd w:val="clear" w:color="auto" w:fill="FFFFFF"/>
        </w:rPr>
        <w:t>（二）</w:t>
      </w:r>
      <w:r>
        <w:rPr>
          <w:rFonts w:hint="eastAsia" w:ascii="Times New Roman" w:hAnsi="Times New Roman" w:eastAsia="宋体" w:cs="宋体"/>
          <w:b/>
          <w:bCs/>
          <w:szCs w:val="24"/>
          <w:shd w:val="clear" w:color="auto" w:fill="FFFFFF"/>
          <w:lang w:val="zh-CN"/>
        </w:rPr>
        <w:t>价格分</w:t>
      </w:r>
      <w:r>
        <w:rPr>
          <w:rFonts w:hint="eastAsia" w:ascii="Times New Roman" w:hAnsi="Times New Roman" w:eastAsia="宋体" w:cs="宋体"/>
          <w:b/>
          <w:bCs/>
          <w:szCs w:val="24"/>
          <w:shd w:val="clear" w:color="auto" w:fill="FFFFFF"/>
        </w:rPr>
        <w:t>：</w:t>
      </w:r>
      <w:r>
        <w:rPr>
          <w:rFonts w:hint="eastAsia" w:ascii="Times New Roman" w:hAnsi="Times New Roman" w:eastAsia="宋体" w:cs="宋体"/>
          <w:b/>
          <w:bCs/>
          <w:szCs w:val="24"/>
          <w:shd w:val="clear" w:color="auto" w:fill="FFFFFF"/>
          <w:lang w:val="en-US" w:eastAsia="zh-CN"/>
        </w:rPr>
        <w:t>20</w:t>
      </w:r>
      <w:r>
        <w:rPr>
          <w:rFonts w:hint="eastAsia" w:ascii="Times New Roman" w:hAnsi="Times New Roman" w:eastAsia="宋体" w:cs="宋体"/>
          <w:b/>
          <w:bCs/>
          <w:szCs w:val="24"/>
          <w:shd w:val="clear" w:color="auto" w:fill="FFFFFF"/>
        </w:rPr>
        <w:t>分</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价格分统一采用低价优先法计算，即满足磋商文件要求且最后报价最低的供应商的价格为磋商基准价，其价格分为满分。其他供应商的价格分统一按照下列公式计算：</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磋商报价得分=（磋商基准价/最后磋商报价）×</w:t>
      </w:r>
      <w:r>
        <w:rPr>
          <w:rFonts w:hint="eastAsia" w:ascii="Times New Roman" w:hAnsi="Times New Roman" w:eastAsia="宋体" w:cs="宋体"/>
          <w:sz w:val="24"/>
          <w:szCs w:val="24"/>
          <w:lang w:val="en-US" w:eastAsia="zh-CN"/>
        </w:rPr>
        <w:t>20</w:t>
      </w:r>
      <w:r>
        <w:rPr>
          <w:rFonts w:hint="eastAsia" w:ascii="Times New Roman" w:hAnsi="Times New Roman" w:eastAsia="宋体" w:cs="宋体"/>
          <w:sz w:val="24"/>
          <w:szCs w:val="24"/>
        </w:rPr>
        <w:t>%×100。</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如评标委员会认为</w:t>
      </w:r>
      <w:r>
        <w:rPr>
          <w:rFonts w:hint="eastAsia" w:ascii="Times New Roman" w:hAnsi="Times New Roman" w:eastAsia="宋体" w:cs="宋体"/>
          <w:sz w:val="24"/>
          <w:szCs w:val="24"/>
          <w:lang w:eastAsia="zh-CN"/>
        </w:rPr>
        <w:t>响应</w:t>
      </w:r>
      <w:r>
        <w:rPr>
          <w:rFonts w:hint="eastAsia" w:ascii="Times New Roman" w:hAnsi="Times New Roman" w:eastAsia="宋体" w:cs="宋体"/>
          <w:sz w:val="24"/>
          <w:szCs w:val="24"/>
        </w:rPr>
        <w:t>人</w:t>
      </w:r>
      <w:r>
        <w:rPr>
          <w:rFonts w:hint="eastAsia" w:ascii="Times New Roman" w:hAnsi="Times New Roman" w:eastAsia="宋体" w:cs="宋体"/>
          <w:sz w:val="24"/>
          <w:szCs w:val="24"/>
          <w:lang w:eastAsia="zh-CN"/>
        </w:rPr>
        <w:t>响应</w:t>
      </w:r>
      <w:r>
        <w:rPr>
          <w:rFonts w:hint="eastAsia" w:ascii="Times New Roman" w:hAnsi="Times New Roman" w:eastAsia="宋体" w:cs="宋体"/>
          <w:sz w:val="24"/>
          <w:szCs w:val="24"/>
        </w:rPr>
        <w:t>价格严重偏离市场价，将取消</w:t>
      </w:r>
      <w:r>
        <w:rPr>
          <w:rFonts w:hint="eastAsia" w:ascii="Times New Roman" w:hAnsi="Times New Roman" w:eastAsia="宋体" w:cs="宋体"/>
          <w:sz w:val="24"/>
          <w:szCs w:val="24"/>
          <w:lang w:eastAsia="zh-CN"/>
        </w:rPr>
        <w:t>响应</w:t>
      </w:r>
      <w:r>
        <w:rPr>
          <w:rFonts w:hint="eastAsia" w:ascii="Times New Roman" w:hAnsi="Times New Roman" w:eastAsia="宋体" w:cs="宋体"/>
          <w:sz w:val="24"/>
          <w:szCs w:val="24"/>
        </w:rPr>
        <w:t>人价格分得分。</w:t>
      </w:r>
    </w:p>
    <w:p>
      <w:pPr>
        <w:pStyle w:val="19"/>
        <w:shd w:val="clear" w:color="auto" w:fill="FFFFFF"/>
        <w:spacing w:before="0" w:beforeAutospacing="0" w:after="0" w:afterAutospacing="0" w:line="360" w:lineRule="auto"/>
        <w:ind w:firstLine="482" w:firstLineChars="200"/>
        <w:jc w:val="both"/>
        <w:textAlignment w:val="baseline"/>
        <w:rPr>
          <w:rFonts w:hint="eastAsia" w:ascii="Times New Roman" w:hAnsi="Times New Roman" w:cs="宋体"/>
          <w:b/>
          <w:bCs/>
          <w:szCs w:val="24"/>
          <w:shd w:val="clear" w:color="auto" w:fill="FFFFFF"/>
        </w:rPr>
      </w:pPr>
      <w:r>
        <w:rPr>
          <w:rFonts w:hint="eastAsia" w:ascii="Times New Roman" w:hAnsi="Times New Roman" w:cs="宋体"/>
          <w:b/>
          <w:bCs/>
          <w:szCs w:val="24"/>
          <w:shd w:val="clear" w:color="auto" w:fill="FFFFFF"/>
        </w:rPr>
        <w:t>（</w:t>
      </w:r>
      <w:r>
        <w:rPr>
          <w:rFonts w:hint="eastAsia" w:ascii="Times New Roman" w:hAnsi="Times New Roman" w:cs="宋体"/>
          <w:b/>
          <w:bCs/>
          <w:szCs w:val="24"/>
          <w:shd w:val="clear" w:color="auto" w:fill="FFFFFF"/>
          <w:lang w:eastAsia="zh-CN"/>
        </w:rPr>
        <w:t>三</w:t>
      </w:r>
      <w:r>
        <w:rPr>
          <w:rFonts w:hint="eastAsia" w:ascii="Times New Roman" w:hAnsi="Times New Roman" w:cs="宋体"/>
          <w:b/>
          <w:bCs/>
          <w:szCs w:val="24"/>
          <w:shd w:val="clear" w:color="auto" w:fill="FFFFFF"/>
        </w:rPr>
        <w:t>）政府采购政策功能落实</w:t>
      </w:r>
    </w:p>
    <w:p>
      <w:pPr>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lang w:val="en-US" w:eastAsia="zh-CN"/>
        </w:rPr>
        <w:t>1、</w:t>
      </w:r>
      <w:r>
        <w:rPr>
          <w:rFonts w:hint="eastAsia" w:ascii="Times New Roman" w:hAnsi="Times New Roman" w:eastAsia="宋体" w:cs="宋体"/>
          <w:sz w:val="24"/>
          <w:szCs w:val="24"/>
        </w:rPr>
        <w:t>小微型企业价格扣除</w:t>
      </w:r>
    </w:p>
    <w:p>
      <w:pPr>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（1）本项目对小型和微型企业产品给予10%的扣除价格，用扣除后的价格参与评审。</w:t>
      </w:r>
    </w:p>
    <w:p>
      <w:pPr>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（2）供应商需按照《政府采购促进中小企业发展管理办法》（财库﹝2020﹞46 号）的规定提供相应的《中小企业声明函》。</w:t>
      </w:r>
    </w:p>
    <w:p>
      <w:pPr>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（3）企业标准请参照《关于印发中小企业划型标准规定的通知》（工信部联企业[2011]300号）文件规定自行填写。</w:t>
      </w:r>
    </w:p>
    <w:p>
      <w:pPr>
        <w:kinsoku w:val="0"/>
        <w:overflowPunct w:val="0"/>
        <w:autoSpaceDE w:val="0"/>
        <w:autoSpaceDN w:val="0"/>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（4）本次采购对应的中小企业划分标准所属行业为：</w:t>
      </w:r>
      <w:r>
        <w:rPr>
          <w:rFonts w:hint="eastAsia" w:ascii="宋体" w:hAnsi="宋体" w:eastAsia="宋体" w:cs="宋体"/>
          <w:b/>
          <w:bCs/>
          <w:color w:val="FF0000"/>
          <w:sz w:val="24"/>
          <w:u w:val="single"/>
        </w:rPr>
        <w:t>软件和信息技术服务业</w:t>
      </w:r>
      <w:r>
        <w:rPr>
          <w:rFonts w:hint="eastAsia" w:ascii="Times New Roman" w:hAnsi="Times New Roman" w:eastAsia="宋体" w:cs="宋体"/>
          <w:sz w:val="24"/>
          <w:szCs w:val="24"/>
        </w:rPr>
        <w:t>。</w:t>
      </w:r>
    </w:p>
    <w:p>
      <w:pPr>
        <w:kinsoku w:val="0"/>
        <w:overflowPunct w:val="0"/>
        <w:autoSpaceDE w:val="0"/>
        <w:autoSpaceDN w:val="0"/>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lang w:val="en-US" w:eastAsia="zh-CN"/>
        </w:rPr>
        <w:t>2、</w:t>
      </w:r>
      <w:r>
        <w:rPr>
          <w:rFonts w:hint="eastAsia" w:ascii="Times New Roman" w:hAnsi="Times New Roman" w:eastAsia="宋体" w:cs="宋体"/>
          <w:sz w:val="24"/>
          <w:szCs w:val="24"/>
        </w:rPr>
        <w:t>残疾人福利单位价格扣除</w:t>
      </w:r>
    </w:p>
    <w:p>
      <w:pPr>
        <w:spacing w:line="360" w:lineRule="auto"/>
        <w:ind w:firstLine="480" w:firstLineChars="200"/>
        <w:textAlignment w:val="baseline"/>
        <w:rPr>
          <w:rFonts w:hint="eastAsia" w:ascii="Times New Roman" w:hAnsi="Times New Roman" w:eastAsia="宋体" w:cs="宋体"/>
          <w:sz w:val="24"/>
          <w:szCs w:val="24"/>
          <w:lang w:eastAsia="zh-CN"/>
        </w:rPr>
      </w:pPr>
      <w:r>
        <w:rPr>
          <w:rFonts w:hint="eastAsia" w:ascii="Times New Roman" w:hAnsi="Times New Roman" w:eastAsia="宋体" w:cs="宋体"/>
          <w:sz w:val="24"/>
          <w:szCs w:val="24"/>
        </w:rPr>
        <w:t>（1）本项目对残疾人福利性单位，给予10%的价格扣除，用扣除后的价格参与评审</w:t>
      </w:r>
      <w:r>
        <w:rPr>
          <w:rFonts w:hint="eastAsia" w:ascii="Times New Roman" w:hAnsi="Times New Roman" w:eastAsia="宋体" w:cs="宋体"/>
          <w:sz w:val="24"/>
          <w:szCs w:val="24"/>
          <w:lang w:eastAsia="zh-CN"/>
        </w:rPr>
        <w:t>。</w:t>
      </w:r>
    </w:p>
    <w:p>
      <w:pPr>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（2）残疾人福利单位需按照采购文件的要求提供《残疾人福利性单位声明函》。</w:t>
      </w:r>
    </w:p>
    <w:p>
      <w:pPr>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（3）残疾人福利单位标准请参照《关于促进残疾人就业政府采购政策的通知》（财库〔2017〕141号）。</w:t>
      </w:r>
    </w:p>
    <w:p>
      <w:pPr>
        <w:kinsoku w:val="0"/>
        <w:overflowPunct w:val="0"/>
        <w:autoSpaceDE w:val="0"/>
        <w:autoSpaceDN w:val="0"/>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lang w:val="en-US" w:eastAsia="zh-CN"/>
        </w:rPr>
        <w:t>3、</w:t>
      </w:r>
      <w:r>
        <w:rPr>
          <w:rFonts w:hint="eastAsia" w:ascii="Times New Roman" w:hAnsi="Times New Roman" w:eastAsia="宋体" w:cs="宋体"/>
          <w:sz w:val="24"/>
          <w:szCs w:val="24"/>
        </w:rPr>
        <w:t>监狱和戒毒企业价格扣除</w:t>
      </w:r>
    </w:p>
    <w:p>
      <w:pPr>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（1）本项目对监狱和戒毒企业（简称监狱企业）给予10%的价格扣除，用扣除后的价格参与评审。</w:t>
      </w:r>
    </w:p>
    <w:p>
      <w:pPr>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（2）监狱企业参加政府采购活动时，需提供由省级以上监狱管理局、戒毒管理局(含新疆生产建设兵团)出具的属于监狱企业的证明文件。供应商如不提供上述证明文件，价格将不做相应扣除。</w:t>
      </w:r>
    </w:p>
    <w:p>
      <w:pPr>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（3）监狱企业标准请参照《关于政府采购支持监狱企业发展有关问题的通知》（财库[2014]68号）。</w:t>
      </w:r>
    </w:p>
    <w:p>
      <w:pPr>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lang w:val="en-US" w:eastAsia="zh-CN"/>
        </w:rPr>
        <w:t>4、</w:t>
      </w:r>
      <w:r>
        <w:rPr>
          <w:rFonts w:hint="eastAsia" w:ascii="Times New Roman" w:hAnsi="Times New Roman" w:eastAsia="宋体" w:cs="宋体"/>
          <w:sz w:val="24"/>
          <w:szCs w:val="24"/>
        </w:rPr>
        <w:t>残疾人福利单位、监狱企业属于小型、微型企业的，不重复享受政策。</w:t>
      </w:r>
    </w:p>
    <w:p>
      <w:pPr>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lang w:val="en-US" w:eastAsia="zh-CN"/>
        </w:rPr>
        <w:t>5、</w:t>
      </w:r>
      <w:r>
        <w:rPr>
          <w:rFonts w:hint="eastAsia" w:ascii="Times New Roman" w:hAnsi="Times New Roman" w:eastAsia="宋体" w:cs="宋体"/>
          <w:sz w:val="24"/>
          <w:szCs w:val="24"/>
        </w:rPr>
        <w:t>大中型企业与小微企业（残疾人福利单位、监狱企业）组成联合体或者大中型企业向小微企业（残疾人福利单位、监狱企业）分包的，对联合协议或者分包意向协议约定小微企业合同份额占到合同总金额30%以上的，对联合体或者大中型企业的报价给予6%的扣除，用扣除后的价格参与评审。</w:t>
      </w:r>
    </w:p>
    <w:p>
      <w:pPr>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lang w:val="en-US" w:eastAsia="zh-CN"/>
        </w:rPr>
        <w:t>6、</w:t>
      </w:r>
      <w:r>
        <w:rPr>
          <w:rFonts w:hint="eastAsia" w:ascii="Times New Roman" w:hAnsi="Times New Roman" w:eastAsia="宋体" w:cs="宋体"/>
          <w:sz w:val="24"/>
          <w:szCs w:val="24"/>
        </w:rPr>
        <w:t>联合体各方均为小型、微型企业（残疾人福利单位、监狱企业）的，联合体享受上述同类价格扣除，用扣除后的价格参与评审。</w:t>
      </w:r>
    </w:p>
    <w:p>
      <w:pPr>
        <w:spacing w:line="360" w:lineRule="auto"/>
        <w:ind w:firstLine="480" w:firstLineChars="200"/>
        <w:textAlignment w:val="baseline"/>
      </w:pPr>
      <w:r>
        <w:rPr>
          <w:rFonts w:hint="eastAsia" w:ascii="Times New Roman" w:hAnsi="Times New Roman" w:eastAsia="宋体" w:cs="宋体"/>
          <w:sz w:val="24"/>
          <w:szCs w:val="24"/>
          <w:lang w:val="en-US" w:eastAsia="zh-CN"/>
        </w:rPr>
        <w:t>7、</w:t>
      </w:r>
      <w:r>
        <w:rPr>
          <w:rFonts w:hint="eastAsia" w:ascii="Times New Roman" w:hAnsi="Times New Roman" w:eastAsia="宋体" w:cs="宋体"/>
          <w:sz w:val="24"/>
          <w:szCs w:val="24"/>
        </w:rPr>
        <w:t>专门面向中小企业采购的项目或者采购包，不再执行价格评审优惠的扶持政策。</w:t>
      </w:r>
    </w:p>
    <w:p>
      <w:pPr>
        <w:pStyle w:val="19"/>
        <w:keepNext w:val="0"/>
        <w:keepLines w:val="0"/>
        <w:pageBreakBefore w:val="0"/>
        <w:widowControl w:val="0"/>
        <w:shd w:val="clear" w:color="auto" w:fill="FFFFFF"/>
        <w:kinsoku/>
        <w:wordWrap/>
        <w:topLinePunct w:val="0"/>
        <w:autoSpaceDE/>
        <w:autoSpaceDN/>
        <w:bidi w:val="0"/>
        <w:spacing w:before="0" w:beforeAutospacing="0" w:after="0" w:afterAutospacing="0" w:line="360" w:lineRule="auto"/>
        <w:ind w:firstLine="482" w:firstLineChars="200"/>
        <w:jc w:val="both"/>
        <w:textAlignment w:val="baseline"/>
        <w:rPr>
          <w:rFonts w:ascii="Times New Roman" w:hAnsi="Times New Roman" w:cs="宋体"/>
          <w:b/>
          <w:bCs/>
          <w:szCs w:val="24"/>
          <w:shd w:val="clear" w:color="auto" w:fill="FFFFFF"/>
        </w:rPr>
      </w:pPr>
      <w:r>
        <w:rPr>
          <w:rFonts w:hint="eastAsia" w:ascii="Times New Roman" w:hAnsi="Times New Roman" w:cs="宋体"/>
          <w:b/>
          <w:bCs/>
          <w:szCs w:val="24"/>
          <w:shd w:val="clear" w:color="auto" w:fill="FFFFFF"/>
        </w:rPr>
        <w:t>五、出现下列情形之一的，作无效标处理</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1、响应文件未按规定要求密封、签署、盖章及主要资料不齐全的；</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2、响应文件的资料有虚报或者谎报的；</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3、响应文件中资格审查文件及技术响应文件出现磋商报价的内容；</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4、不具备磋商文件规定的资格要求的；</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5、响应文件有重大漏项或重大不合理的；</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6、项目技术、方案不满足项目需求中的要求，有重大偏离或保留的；</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7、磋商响应报价超出项目预算的；</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8、被认定为低于成本报价磋商竞标的；</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9、供应商的磋商报价高于自己前一轮的；</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10、不符合法律、法规和磋商文件中规定的其他实质性响应要求的；</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11、磋商小组依据法律法规可以认定为无效投标的其他情况；</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12、未按要求提供样品的</w:t>
      </w:r>
      <w:r>
        <w:rPr>
          <w:rFonts w:hint="eastAsia" w:ascii="Times New Roman" w:hAnsi="Times New Roman" w:eastAsia="宋体" w:cs="宋体"/>
          <w:color w:val="000000" w:themeColor="text1"/>
          <w:sz w:val="24"/>
          <w:szCs w:val="24"/>
          <w14:textFill>
            <w14:solidFill>
              <w14:schemeClr w14:val="tx1"/>
            </w14:solidFill>
          </w14:textFill>
        </w:rPr>
        <w:t>（如有）</w:t>
      </w:r>
      <w:r>
        <w:rPr>
          <w:rFonts w:hint="eastAsia" w:ascii="Times New Roman" w:hAnsi="Times New Roman" w:eastAsia="宋体" w:cs="宋体"/>
          <w:sz w:val="24"/>
          <w:szCs w:val="24"/>
        </w:rPr>
        <w:t>。</w:t>
      </w:r>
    </w:p>
    <w:p>
      <w:pPr>
        <w:pStyle w:val="19"/>
        <w:keepNext w:val="0"/>
        <w:keepLines w:val="0"/>
        <w:pageBreakBefore w:val="0"/>
        <w:widowControl w:val="0"/>
        <w:shd w:val="clear" w:color="auto" w:fill="FFFFFF"/>
        <w:kinsoku/>
        <w:wordWrap/>
        <w:topLinePunct w:val="0"/>
        <w:autoSpaceDE/>
        <w:autoSpaceDN/>
        <w:bidi w:val="0"/>
        <w:spacing w:before="0" w:beforeAutospacing="0" w:after="0" w:afterAutospacing="0" w:line="360" w:lineRule="auto"/>
        <w:ind w:firstLine="482" w:firstLineChars="200"/>
        <w:jc w:val="both"/>
        <w:textAlignment w:val="baseline"/>
        <w:rPr>
          <w:rFonts w:ascii="Times New Roman" w:hAnsi="Times New Roman" w:cs="宋体"/>
          <w:b/>
          <w:bCs/>
          <w:szCs w:val="24"/>
          <w:shd w:val="clear" w:color="auto" w:fill="FFFFFF"/>
        </w:rPr>
      </w:pPr>
      <w:r>
        <w:rPr>
          <w:rFonts w:hint="eastAsia" w:ascii="Times New Roman" w:hAnsi="Times New Roman" w:cs="宋体"/>
          <w:b/>
          <w:bCs/>
          <w:szCs w:val="24"/>
          <w:shd w:val="clear" w:color="auto" w:fill="FFFFFF"/>
        </w:rPr>
        <w:t>六、出现下列情形之一的，作废标处理</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1、供应商的报价均超出了采购预算，采购单位不能支付的；</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2、因情况变化，不再符合规定的竞争性磋商采购人式所适用情形的；</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3、出现影响采购公正的违法、违规行为的；</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4、因重大变故，采购任务取消的；</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5、供应商未按采购文件要求提供样品或样品提供不全的或未提供样品的（如有）；</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6、磋商小组依据法律法规可以认定为废标的其他情况。</w:t>
      </w:r>
    </w:p>
    <w:p>
      <w:pPr>
        <w:pStyle w:val="19"/>
        <w:keepNext w:val="0"/>
        <w:keepLines w:val="0"/>
        <w:pageBreakBefore w:val="0"/>
        <w:widowControl w:val="0"/>
        <w:shd w:val="clear" w:color="auto" w:fill="FFFFFF"/>
        <w:kinsoku/>
        <w:wordWrap/>
        <w:topLinePunct w:val="0"/>
        <w:autoSpaceDE/>
        <w:autoSpaceDN/>
        <w:bidi w:val="0"/>
        <w:spacing w:before="0" w:beforeAutospacing="0" w:after="0" w:afterAutospacing="0" w:line="360" w:lineRule="auto"/>
        <w:ind w:firstLine="482" w:firstLineChars="200"/>
        <w:jc w:val="both"/>
        <w:textAlignment w:val="baseline"/>
        <w:rPr>
          <w:rFonts w:ascii="Times New Roman" w:hAnsi="Times New Roman" w:cs="宋体"/>
          <w:b/>
          <w:bCs/>
          <w:szCs w:val="24"/>
          <w:shd w:val="clear" w:color="auto" w:fill="FFFFFF"/>
        </w:rPr>
      </w:pPr>
      <w:r>
        <w:rPr>
          <w:rFonts w:hint="eastAsia" w:ascii="Times New Roman" w:hAnsi="Times New Roman" w:cs="宋体"/>
          <w:b/>
          <w:bCs/>
          <w:szCs w:val="24"/>
          <w:shd w:val="clear" w:color="auto" w:fill="FFFFFF"/>
        </w:rPr>
        <w:t>七、成交通知</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kern w:val="0"/>
          <w:sz w:val="24"/>
          <w:szCs w:val="24"/>
        </w:rPr>
      </w:pPr>
      <w:r>
        <w:rPr>
          <w:rFonts w:hint="eastAsia" w:ascii="Times New Roman" w:hAnsi="Times New Roman" w:eastAsia="宋体" w:cs="宋体"/>
          <w:kern w:val="0"/>
          <w:sz w:val="24"/>
          <w:szCs w:val="24"/>
        </w:rPr>
        <w:t>成交结果在南通市第三人民医院官网公示</w:t>
      </w:r>
      <w:r>
        <w:rPr>
          <w:rFonts w:hint="eastAsia" w:ascii="Times New Roman" w:hAnsi="Times New Roman" w:eastAsia="宋体" w:cs="宋体"/>
          <w:b/>
          <w:kern w:val="0"/>
          <w:sz w:val="24"/>
          <w:szCs w:val="24"/>
          <w:u w:val="single"/>
        </w:rPr>
        <w:t>1</w:t>
      </w:r>
      <w:r>
        <w:rPr>
          <w:rFonts w:hint="eastAsia" w:ascii="Times New Roman" w:hAnsi="Times New Roman" w:eastAsia="宋体" w:cs="宋体"/>
          <w:kern w:val="0"/>
          <w:sz w:val="24"/>
          <w:szCs w:val="24"/>
        </w:rPr>
        <w:t>个工作日。《成交通知书》一经发出，采购单位改变成交结果，或者成交人放弃成交的，各自承担相应的法律责任。《成交通知书》是采购合同的组成部分。</w:t>
      </w:r>
    </w:p>
    <w:p>
      <w:pPr>
        <w:keepNext w:val="0"/>
        <w:keepLines w:val="0"/>
        <w:pageBreakBefore w:val="0"/>
        <w:widowControl w:val="0"/>
        <w:kinsoku/>
        <w:wordWrap/>
        <w:topLinePunct w:val="0"/>
        <w:autoSpaceDE/>
        <w:autoSpaceDN/>
        <w:bidi w:val="0"/>
        <w:spacing w:line="360" w:lineRule="auto"/>
        <w:jc w:val="left"/>
        <w:rPr>
          <w:rFonts w:ascii="Times New Roman" w:hAnsi="Times New Roman" w:eastAsia="宋体" w:cs="宋体"/>
          <w:b/>
          <w:w w:val="80"/>
          <w:kern w:val="44"/>
          <w:sz w:val="48"/>
          <w:szCs w:val="44"/>
        </w:rPr>
      </w:pPr>
      <w:r>
        <w:rPr>
          <w:rFonts w:ascii="Times New Roman" w:hAnsi="Times New Roman" w:eastAsia="宋体" w:cs="宋体"/>
          <w:w w:val="80"/>
          <w:sz w:val="48"/>
          <w:szCs w:val="44"/>
        </w:rPr>
        <w:br w:type="page"/>
      </w:r>
    </w:p>
    <w:p>
      <w:pPr>
        <w:pStyle w:val="3"/>
        <w:keepNext w:val="0"/>
        <w:keepLines w:val="0"/>
        <w:pageBreakBefore w:val="0"/>
        <w:widowControl w:val="0"/>
        <w:kinsoku/>
        <w:wordWrap/>
        <w:topLinePunct w:val="0"/>
        <w:autoSpaceDE/>
        <w:autoSpaceDN/>
        <w:bidi w:val="0"/>
        <w:spacing w:before="0" w:after="0" w:line="360" w:lineRule="auto"/>
        <w:jc w:val="center"/>
        <w:textAlignment w:val="baseline"/>
        <w:rPr>
          <w:rFonts w:ascii="Times New Roman" w:hAnsi="Times New Roman" w:eastAsia="宋体" w:cs="宋体"/>
          <w:w w:val="80"/>
          <w:sz w:val="48"/>
          <w:szCs w:val="44"/>
        </w:rPr>
      </w:pPr>
      <w:r>
        <w:rPr>
          <w:rFonts w:hint="eastAsia" w:ascii="Times New Roman" w:hAnsi="Times New Roman" w:eastAsia="宋体" w:cs="宋体"/>
          <w:w w:val="80"/>
          <w:sz w:val="48"/>
          <w:szCs w:val="44"/>
        </w:rPr>
        <w:t>第五章 合同授予</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kern w:val="0"/>
          <w:sz w:val="28"/>
          <w:szCs w:val="28"/>
        </w:rPr>
      </w:pPr>
      <w:r>
        <w:rPr>
          <w:rFonts w:hint="eastAsia" w:ascii="Times New Roman" w:hAnsi="Times New Roman" w:eastAsia="宋体" w:cs="宋体"/>
          <w:sz w:val="24"/>
        </w:rPr>
        <w:t>一、</w:t>
      </w:r>
      <w:r>
        <w:rPr>
          <w:rFonts w:hint="eastAsia" w:ascii="Times New Roman" w:hAnsi="Times New Roman" w:eastAsia="宋体" w:cs="宋体"/>
          <w:kern w:val="0"/>
          <w:sz w:val="24"/>
        </w:rPr>
        <w:t>成交供应商在《成交通知书》发出</w:t>
      </w:r>
      <w:r>
        <w:rPr>
          <w:rFonts w:hint="eastAsia" w:ascii="Times New Roman" w:hAnsi="Times New Roman" w:eastAsia="宋体" w:cs="宋体"/>
          <w:kern w:val="0"/>
          <w:sz w:val="24"/>
          <w:lang w:eastAsia="zh-CN"/>
        </w:rPr>
        <w:t>后</w:t>
      </w:r>
      <w:r>
        <w:rPr>
          <w:rFonts w:hint="eastAsia" w:ascii="Times New Roman" w:hAnsi="Times New Roman" w:eastAsia="宋体" w:cs="宋体"/>
          <w:b w:val="0"/>
          <w:bCs w:val="0"/>
          <w:color w:val="auto"/>
          <w:kern w:val="0"/>
          <w:sz w:val="24"/>
          <w:lang w:val="en-US" w:eastAsia="zh-CN"/>
        </w:rPr>
        <w:t>10个工作日</w:t>
      </w:r>
      <w:r>
        <w:rPr>
          <w:rFonts w:hint="eastAsia" w:ascii="Times New Roman" w:hAnsi="Times New Roman" w:eastAsia="宋体" w:cs="宋体"/>
          <w:b w:val="0"/>
          <w:bCs w:val="0"/>
          <w:color w:val="auto"/>
          <w:kern w:val="0"/>
          <w:sz w:val="24"/>
        </w:rPr>
        <w:t>内</w:t>
      </w:r>
      <w:r>
        <w:rPr>
          <w:rFonts w:hint="eastAsia" w:ascii="Times New Roman" w:hAnsi="Times New Roman" w:eastAsia="宋体" w:cs="宋体"/>
          <w:b w:val="0"/>
          <w:bCs w:val="0"/>
          <w:kern w:val="0"/>
          <w:sz w:val="24"/>
        </w:rPr>
        <w:t>须按</w:t>
      </w:r>
      <w:r>
        <w:rPr>
          <w:rFonts w:hint="eastAsia" w:ascii="Times New Roman" w:hAnsi="Times New Roman" w:eastAsia="宋体" w:cs="宋体"/>
          <w:kern w:val="0"/>
          <w:sz w:val="24"/>
        </w:rPr>
        <w:t>照磋商文件确定的事项签订采购合同。合同一式四份，采购</w:t>
      </w:r>
      <w:r>
        <w:rPr>
          <w:rFonts w:hint="eastAsia" w:ascii="Times New Roman" w:hAnsi="Times New Roman" w:eastAsia="宋体" w:cs="宋体"/>
          <w:kern w:val="0"/>
          <w:sz w:val="24"/>
          <w:szCs w:val="24"/>
        </w:rPr>
        <w:t>单位</w:t>
      </w:r>
      <w:r>
        <w:rPr>
          <w:rFonts w:hint="eastAsia" w:ascii="Times New Roman" w:hAnsi="Times New Roman" w:eastAsia="宋体" w:cs="宋体"/>
          <w:kern w:val="0"/>
          <w:sz w:val="24"/>
        </w:rPr>
        <w:t xml:space="preserve">三份、供应商一份。所签合同不得对磋商文件作实质性修改。采购单位不得向成交供应商提出不合理的要求作为签订合同的条件，不得与成交供应商私下订立背离磋商文件实质性内容的协议。 </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kern w:val="0"/>
          <w:sz w:val="24"/>
        </w:rPr>
      </w:pPr>
      <w:r>
        <w:rPr>
          <w:rFonts w:hint="eastAsia" w:ascii="Times New Roman" w:hAnsi="Times New Roman" w:eastAsia="宋体" w:cs="宋体"/>
          <w:kern w:val="0"/>
          <w:sz w:val="24"/>
        </w:rPr>
        <w:t>二、</w:t>
      </w:r>
      <w:r>
        <w:rPr>
          <w:rFonts w:hint="eastAsia" w:ascii="Times New Roman" w:hAnsi="Times New Roman" w:cs="宋体"/>
          <w:sz w:val="24"/>
        </w:rPr>
        <w:t>采购单位按合同约定积极配合成交供应商履约，成交供应商履约到位后，请以书面形式向采购单位提出验收申请。</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rPr>
      </w:pPr>
      <w:r>
        <w:rPr>
          <w:rFonts w:hint="eastAsia" w:ascii="Times New Roman" w:hAnsi="Times New Roman" w:eastAsia="宋体" w:cs="宋体"/>
          <w:sz w:val="24"/>
        </w:rPr>
        <w:t>三、采购单位故意推迟</w:t>
      </w:r>
      <w:r>
        <w:rPr>
          <w:rFonts w:hint="eastAsia" w:ascii="Times New Roman" w:hAnsi="Times New Roman" w:eastAsia="宋体" w:cs="宋体"/>
          <w:kern w:val="0"/>
          <w:sz w:val="24"/>
          <w:szCs w:val="24"/>
        </w:rPr>
        <w:t>项目</w:t>
      </w:r>
      <w:r>
        <w:rPr>
          <w:rFonts w:hint="eastAsia" w:ascii="Times New Roman" w:hAnsi="Times New Roman" w:eastAsia="宋体" w:cs="宋体"/>
          <w:sz w:val="24"/>
        </w:rPr>
        <w:t>验收时间的，与供应商串通或要求供应商通过减少货物数量或降低服务标准的，在履行合同中采取更改配置、调换物品等手段的，要求供应商出具虚假发票或任意更改销售发票的，谋取不正当利益的，承担相应的法律责任。</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rPr>
      </w:pPr>
      <w:r>
        <w:rPr>
          <w:rFonts w:hint="eastAsia" w:ascii="Times New Roman" w:hAnsi="Times New Roman" w:eastAsia="宋体" w:cs="宋体"/>
          <w:sz w:val="24"/>
        </w:rPr>
        <w:t>四、供应商出现违约情形，应当及时纠正或补偿；造成损失的，按合同约定追究违约责任；发现有假冒、伪劣、走私产品、商业贿赂等违法情形的，应由采购单位移交工商、质监、公安等行政执法部门依法查处。</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rPr>
      </w:pPr>
      <w:r>
        <w:rPr>
          <w:rFonts w:hint="eastAsia" w:ascii="Times New Roman" w:hAnsi="Times New Roman" w:eastAsia="宋体" w:cs="宋体"/>
          <w:sz w:val="24"/>
        </w:rPr>
        <w:t>五、不响应付款方式的，视同响应文件无效，按无效响应文件处理。</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rPr>
      </w:pPr>
      <w:r>
        <w:rPr>
          <w:rFonts w:hint="eastAsia" w:ascii="Times New Roman" w:hAnsi="Times New Roman" w:eastAsia="宋体" w:cs="宋体"/>
          <w:sz w:val="24"/>
        </w:rPr>
        <w:t>六、付款方式详见</w:t>
      </w:r>
      <w:r>
        <w:rPr>
          <w:rFonts w:hint="eastAsia" w:ascii="Times New Roman" w:hAnsi="Times New Roman" w:eastAsia="宋体" w:cs="宋体"/>
          <w:kern w:val="0"/>
          <w:sz w:val="24"/>
        </w:rPr>
        <w:t>磋商</w:t>
      </w:r>
      <w:r>
        <w:rPr>
          <w:rFonts w:hint="eastAsia" w:ascii="Times New Roman" w:hAnsi="Times New Roman" w:eastAsia="宋体" w:cs="宋体"/>
          <w:sz w:val="24"/>
        </w:rPr>
        <w:t>文件第三章。</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b/>
          <w:iCs/>
          <w:color w:val="000000" w:themeColor="text1"/>
          <w:w w:val="80"/>
          <w:sz w:val="44"/>
          <w:szCs w:val="44"/>
          <w14:textFill>
            <w14:solidFill>
              <w14:schemeClr w14:val="tx1"/>
            </w14:solidFill>
          </w14:textFill>
        </w:rPr>
      </w:pPr>
      <w:r>
        <w:rPr>
          <w:rFonts w:hint="eastAsia" w:ascii="Times New Roman" w:hAnsi="Times New Roman" w:eastAsia="宋体" w:cs="宋体"/>
          <w:sz w:val="24"/>
        </w:rPr>
        <w:t>七、以上项目款的支付不计息。</w:t>
      </w:r>
    </w:p>
    <w:p>
      <w:pPr>
        <w:keepNext w:val="0"/>
        <w:keepLines w:val="0"/>
        <w:pageBreakBefore w:val="0"/>
        <w:widowControl w:val="0"/>
        <w:kinsoku/>
        <w:wordWrap/>
        <w:topLinePunct w:val="0"/>
        <w:autoSpaceDE/>
        <w:autoSpaceDN/>
        <w:bidi w:val="0"/>
        <w:spacing w:line="360" w:lineRule="auto"/>
        <w:rPr>
          <w:rFonts w:ascii="Times New Roman" w:hAnsi="Times New Roman" w:eastAsia="宋体"/>
          <w:w w:val="80"/>
          <w:kern w:val="44"/>
        </w:rPr>
      </w:pPr>
    </w:p>
    <w:p>
      <w:pPr>
        <w:keepNext w:val="0"/>
        <w:keepLines w:val="0"/>
        <w:pageBreakBefore w:val="0"/>
        <w:widowControl w:val="0"/>
        <w:kinsoku/>
        <w:wordWrap/>
        <w:topLinePunct w:val="0"/>
        <w:autoSpaceDE/>
        <w:autoSpaceDN/>
        <w:bidi w:val="0"/>
        <w:spacing w:line="360" w:lineRule="auto"/>
        <w:jc w:val="left"/>
        <w:rPr>
          <w:rFonts w:ascii="Times New Roman" w:hAnsi="Times New Roman" w:eastAsia="宋体" w:cs="宋体"/>
          <w:b/>
          <w:w w:val="80"/>
          <w:kern w:val="44"/>
          <w:sz w:val="48"/>
          <w:szCs w:val="44"/>
        </w:rPr>
      </w:pPr>
      <w:r>
        <w:rPr>
          <w:rFonts w:ascii="Times New Roman" w:hAnsi="Times New Roman" w:eastAsia="宋体" w:cs="宋体"/>
          <w:w w:val="80"/>
          <w:sz w:val="48"/>
          <w:szCs w:val="44"/>
        </w:rPr>
        <w:br w:type="page"/>
      </w:r>
    </w:p>
    <w:p>
      <w:pPr>
        <w:pStyle w:val="3"/>
        <w:keepNext w:val="0"/>
        <w:keepLines w:val="0"/>
        <w:pageBreakBefore w:val="0"/>
        <w:widowControl w:val="0"/>
        <w:kinsoku/>
        <w:wordWrap/>
        <w:topLinePunct w:val="0"/>
        <w:autoSpaceDE/>
        <w:autoSpaceDN/>
        <w:bidi w:val="0"/>
        <w:spacing w:before="0" w:after="0" w:line="360" w:lineRule="auto"/>
        <w:jc w:val="center"/>
        <w:textAlignment w:val="baseline"/>
        <w:rPr>
          <w:rFonts w:ascii="Times New Roman" w:hAnsi="Times New Roman" w:eastAsia="宋体" w:cs="宋体"/>
          <w:w w:val="80"/>
          <w:sz w:val="48"/>
          <w:szCs w:val="44"/>
        </w:rPr>
      </w:pPr>
      <w:r>
        <w:rPr>
          <w:rFonts w:hint="eastAsia" w:ascii="Times New Roman" w:hAnsi="Times New Roman" w:eastAsia="宋体" w:cs="宋体"/>
          <w:w w:val="80"/>
          <w:sz w:val="48"/>
          <w:szCs w:val="44"/>
        </w:rPr>
        <w:t>第六章 质疑提出和处理</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一、质疑的提出</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1、质疑人必须是直接参加本次磋商活动的当事人。</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2、下载磋商文件的供应商应根据第二章</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投标供应商须知</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中第一条第4款的约定提出；响应文件接收截止后，供应商未进行磋商登记的，不能就响应文件接收截止后的招投标过程、成交结果提出质疑；在磋商过程中，凡主持人或评审小组明确提出须由供应商确认的事项，供应商当场无异议的，事后不得提出质疑。</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3、提出质疑时，必须坚持</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谁主张，谁举证</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实事求是</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的原则，不能臆测。属于须由法定部门调查、侦查或先行作出相关认定的事项，质疑人应当依法申请具有法定职权的部门查清、认定，并将相关结果提供给采购单位或采购代理机构。采购单位或采购代理机构不具有法定调查、认定权限。</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对本次招标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对不能提供相关佐证材料的、涉及商业秘密的、非书面形式的、非送达的、匿名的《质疑函》将不予受理。</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相关佐证材料要具备客观性、关联性、合法性，无法查实的（如宣传册、媒体报道、猜测、推理等）不能作为佐证材料。</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采购单位或采购代理机构不负责搜集相关佐证材料等工作。</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二、《质疑函》的受理和回复</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1、《质疑函》须由质疑人的法定代表人或参加本次磋商被授权人送达采购单位和采购代理机构。</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对符合提出质疑要求的，采购单位、采购代理机构签收并出具《质疑受理通知书》。在处理过程中，发现需要质疑人进一步补充相关佐证材料的，请质疑人在规定的时间内提供，质疑回复时间相应顺延。质疑人不能按时提供相关佐证材料的，视同放弃质疑。</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3、对不符合提出质疑要求的，出具《质疑退回通知书》并提出相关补充材料要求，质疑人未在规定的时间内提供补充佐证材料的，视同放弃质疑。</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4、采购单位、采购代理机构负责将质疑人提出的质疑相关材料提供给相关专家或评审小组审核，并将审核意见回复质疑人。</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5、因质疑情况复杂，组织论证或审查时间较长的，采购单位、采购代理机构以书面形式通知质疑人，可适当延长质疑回复处理时间。</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三、质疑处理</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1、质疑成立的处理。采购单位或采购代理机构终止采购，并建议有关部门给相关当事人予以处理。</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2、质疑不成立的处理。</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1）质疑人书面《申请撤回质疑函》的，不作违约处理。</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2）质疑人在规定的时间内不配合进行质疑调查处理的，按自动撤回《质疑函》处理。</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3）质疑人不按《质疑函》格式就提出质疑的，作违约处理。同时，视情列入不良供应商名单。</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4）质疑人虽提供了相关佐证材料，但不能证明其质疑成立的，采购单位或采购代理机构请质疑人补充相关佐证材料，仍不能证明其质疑成立的，作违约处理。并将其列入不良供应商名单。</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5）质疑人不能提供相关佐证材料的，采购单位、采购代理机构已指出，质疑人仍然坚持提出质疑的，作违约处理。同时，列入不良供应商名单。</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6）对明显有违事实的、经相关专家或评审小组认定无依据的、经其他供应商举证无依据的质疑，作违约处理，列入不良供应商名单；同时，对其中每一项不成立的质疑给予质疑人1年内禁入本区域内的政府采购活动的违约处理，依次类推；视情在南通政府采购网、省、国家级相关媒体予以披露。</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7）质疑人承担使用虚假材料或恶意方式质疑的法律责任。</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四、无佐证材料的举报作违约处理。供应商不得进行不提供相关佐证材料（含无法查实的如宣传册、媒体报道、猜测、推理等）向有关部门的举报，否则作违约处理。同时对其在1至3年内禁入由采购单位组织的政府采购活动的违约处理。</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五、投诉不成立的作违约处理。供应商进行质疑后，采购单位回复质疑不成立，供应商仍进行投诉的，并最终投诉不成立的，作违约处理。采购单位有权对其在1至3年内禁入由采购单位组织的政府采购活动的违约处理。</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六、《质疑函》、《质疑回复函》，质疑、举报、投诉不成立的等相关情况，视情在南通政府采购网、省、国家级等相关媒体予以披露。并建议相关政府采购机构对该供应商同步实施1至3年内禁入。</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七、质疑供应商对采购单位或代理机构的答复不满意或者采购单位或代理机构未在规定的时间内作出答复的，可以在答复期满后15个工作日内向政府采购监督管理部门投诉。</w:t>
      </w:r>
    </w:p>
    <w:p>
      <w:pPr>
        <w:keepNext w:val="0"/>
        <w:keepLines w:val="0"/>
        <w:pageBreakBefore w:val="0"/>
        <w:widowControl w:val="0"/>
        <w:kinsoku/>
        <w:wordWrap/>
        <w:topLinePunct w:val="0"/>
        <w:autoSpaceDE/>
        <w:autoSpaceDN/>
        <w:bidi w:val="0"/>
        <w:spacing w:line="360" w:lineRule="auto"/>
        <w:jc w:val="left"/>
        <w:rPr>
          <w:rFonts w:ascii="Times New Roman" w:hAnsi="Times New Roman" w:eastAsia="宋体" w:cs="宋体"/>
          <w:sz w:val="24"/>
          <w:szCs w:val="24"/>
        </w:rPr>
      </w:pPr>
      <w:r>
        <w:rPr>
          <w:rFonts w:ascii="Times New Roman" w:hAnsi="Times New Roman" w:eastAsia="宋体" w:cs="宋体"/>
          <w:sz w:val="24"/>
          <w:szCs w:val="24"/>
        </w:rPr>
        <w:br w:type="page"/>
      </w:r>
    </w:p>
    <w:p>
      <w:pPr>
        <w:pStyle w:val="3"/>
        <w:keepNext w:val="0"/>
        <w:keepLines w:val="0"/>
        <w:pageBreakBefore w:val="0"/>
        <w:widowControl w:val="0"/>
        <w:kinsoku/>
        <w:wordWrap/>
        <w:topLinePunct w:val="0"/>
        <w:autoSpaceDE/>
        <w:autoSpaceDN/>
        <w:bidi w:val="0"/>
        <w:spacing w:before="0" w:after="0" w:line="360" w:lineRule="auto"/>
        <w:jc w:val="center"/>
        <w:textAlignment w:val="baseline"/>
        <w:rPr>
          <w:rFonts w:ascii="Times New Roman" w:hAnsi="Times New Roman" w:eastAsia="宋体" w:cs="宋体"/>
          <w:w w:val="80"/>
          <w:sz w:val="48"/>
          <w:szCs w:val="44"/>
        </w:rPr>
      </w:pPr>
      <w:r>
        <w:rPr>
          <w:rFonts w:hint="eastAsia" w:ascii="Times New Roman" w:hAnsi="Times New Roman" w:eastAsia="宋体" w:cs="宋体"/>
          <w:w w:val="80"/>
          <w:sz w:val="48"/>
          <w:szCs w:val="44"/>
        </w:rPr>
        <w:t>第七章 响应文件组成及格式</w:t>
      </w:r>
    </w:p>
    <w:p>
      <w:pPr>
        <w:keepNext w:val="0"/>
        <w:keepLines w:val="0"/>
        <w:pageBreakBefore w:val="0"/>
        <w:widowControl w:val="0"/>
        <w:kinsoku/>
        <w:wordWrap/>
        <w:topLinePunct w:val="0"/>
        <w:autoSpaceDE/>
        <w:autoSpaceDN/>
        <w:bidi w:val="0"/>
        <w:spacing w:line="360" w:lineRule="auto"/>
        <w:ind w:firstLine="482" w:firstLineChars="200"/>
        <w:jc w:val="left"/>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响应文件由资格审查文件、技术响应文件、商务报价响应文件三部分组成。本次竞争性磋商采用资格后审方式，供应商须将资格审查文件作为响应文件组成部分，按磋商文件要求装订密封后一起递交。</w:t>
      </w:r>
    </w:p>
    <w:p>
      <w:pPr>
        <w:keepNext w:val="0"/>
        <w:keepLines w:val="0"/>
        <w:pageBreakBefore w:val="0"/>
        <w:widowControl w:val="0"/>
        <w:kinsoku/>
        <w:wordWrap/>
        <w:topLinePunct w:val="0"/>
        <w:autoSpaceDE/>
        <w:autoSpaceDN/>
        <w:bidi w:val="0"/>
        <w:spacing w:line="360" w:lineRule="auto"/>
        <w:ind w:firstLine="482" w:firstLineChars="200"/>
        <w:jc w:val="left"/>
        <w:textAlignment w:val="baseline"/>
        <w:rPr>
          <w:rFonts w:ascii="Times New Roman" w:hAnsi="Times New Roman" w:eastAsia="宋体" w:cs="宋体"/>
          <w:b/>
          <w:bCs/>
          <w:kern w:val="0"/>
          <w:sz w:val="24"/>
          <w:lang w:val="zh-CN"/>
        </w:rPr>
      </w:pPr>
      <w:r>
        <w:rPr>
          <w:rFonts w:hint="eastAsia" w:ascii="Times New Roman" w:hAnsi="Times New Roman" w:eastAsia="宋体" w:cs="宋体"/>
          <w:b/>
          <w:bCs/>
          <w:kern w:val="0"/>
          <w:sz w:val="24"/>
          <w:lang w:val="zh-CN"/>
        </w:rPr>
        <w:t>一、资格审查文件（单独密封）：</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1、提供</w:t>
      </w:r>
      <w:r>
        <w:rPr>
          <w:rFonts w:hint="eastAsia" w:ascii="Times New Roman" w:hAnsi="Times New Roman" w:eastAsia="宋体"/>
          <w:sz w:val="24"/>
          <w:szCs w:val="24"/>
          <w:lang w:eastAsia="zh-CN"/>
        </w:rPr>
        <w:t>响应</w:t>
      </w:r>
      <w:r>
        <w:rPr>
          <w:rFonts w:hint="eastAsia" w:ascii="Times New Roman" w:hAnsi="Times New Roman" w:eastAsia="宋体"/>
          <w:sz w:val="24"/>
          <w:szCs w:val="24"/>
        </w:rPr>
        <w:t>供应商企业法人营业执照（副本）及税务登记证（副本）的复印件；或者是三证合一的营业执照（副本）的复印件</w:t>
      </w:r>
      <w:r>
        <w:rPr>
          <w:rFonts w:hint="eastAsia" w:ascii="宋体" w:hAnsi="宋体"/>
          <w:sz w:val="24"/>
          <w:szCs w:val="24"/>
        </w:rPr>
        <w:t>。</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2、法定代表人参加</w:t>
      </w:r>
      <w:r>
        <w:rPr>
          <w:rFonts w:hint="eastAsia" w:ascii="Times New Roman" w:hAnsi="Times New Roman" w:eastAsia="宋体"/>
          <w:sz w:val="24"/>
          <w:szCs w:val="24"/>
          <w:lang w:eastAsia="zh-CN"/>
        </w:rPr>
        <w:t>磋商</w:t>
      </w:r>
      <w:r>
        <w:rPr>
          <w:rFonts w:hint="eastAsia" w:ascii="Times New Roman" w:hAnsi="Times New Roman" w:eastAsia="宋体"/>
          <w:sz w:val="24"/>
          <w:szCs w:val="24"/>
        </w:rPr>
        <w:t>的，必须提供法定代表人身份证明及法定代表人本人身份证两项复印件（须加盖单位公章）；非法定代表人参加</w:t>
      </w:r>
      <w:r>
        <w:rPr>
          <w:rFonts w:hint="eastAsia" w:ascii="Times New Roman" w:hAnsi="Times New Roman" w:eastAsia="宋体"/>
          <w:sz w:val="24"/>
          <w:szCs w:val="24"/>
          <w:lang w:eastAsia="zh-CN"/>
        </w:rPr>
        <w:t>磋商</w:t>
      </w:r>
      <w:r>
        <w:rPr>
          <w:rFonts w:hint="eastAsia" w:ascii="Times New Roman" w:hAnsi="Times New Roman" w:eastAsia="宋体"/>
          <w:sz w:val="24"/>
          <w:szCs w:val="24"/>
        </w:rPr>
        <w:t>的，必须提供法定代表人签字或印章的授权委托书及被授权人本人身份证两项复印件；（须加盖单位公章）</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sz w:val="24"/>
          <w:szCs w:val="24"/>
        </w:rPr>
      </w:pPr>
      <w:r>
        <w:rPr>
          <w:rFonts w:hint="eastAsia" w:ascii="Times New Roman" w:hAnsi="Times New Roman" w:eastAsia="宋体"/>
          <w:sz w:val="24"/>
          <w:szCs w:val="24"/>
        </w:rPr>
        <w:t>3、提供供应商符合《中华人民共和国政府采购法》第二十二条规定条件的声明函。</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hint="default" w:ascii="Times New Roman" w:hAnsi="Times New Roman" w:eastAsia="宋体"/>
          <w:sz w:val="24"/>
          <w:szCs w:val="24"/>
          <w:highlight w:val="none"/>
          <w:lang w:val="en-US" w:eastAsia="zh-CN"/>
        </w:rPr>
      </w:pPr>
      <w:r>
        <w:rPr>
          <w:rFonts w:hint="eastAsia" w:ascii="Times New Roman" w:hAnsi="Times New Roman"/>
          <w:sz w:val="24"/>
          <w:szCs w:val="24"/>
          <w:lang w:val="en-US" w:eastAsia="zh-CN"/>
        </w:rPr>
        <w:t>4、</w:t>
      </w:r>
      <w:r>
        <w:rPr>
          <w:rFonts w:hint="eastAsia" w:ascii="Times New Roman" w:hAnsi="Times New Roman"/>
          <w:sz w:val="24"/>
          <w:szCs w:val="24"/>
        </w:rPr>
        <w:t>诚信承诺书（</w:t>
      </w:r>
      <w:r>
        <w:rPr>
          <w:rFonts w:hint="eastAsia" w:ascii="Times New Roman" w:hAnsi="Times New Roman" w:cs="宋体"/>
          <w:sz w:val="24"/>
          <w:szCs w:val="24"/>
        </w:rPr>
        <w:t>格式参见附件）</w:t>
      </w:r>
      <w:r>
        <w:rPr>
          <w:rFonts w:hint="eastAsia" w:ascii="Times New Roman" w:hAnsi="Times New Roman" w:eastAsia="宋体"/>
          <w:sz w:val="24"/>
          <w:szCs w:val="24"/>
          <w:highlight w:val="none"/>
          <w:lang w:val="en-US" w:eastAsia="zh-CN"/>
        </w:rPr>
        <w:t>。</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sz w:val="24"/>
          <w:szCs w:val="24"/>
        </w:rPr>
      </w:pPr>
      <w:r>
        <w:rPr>
          <w:rFonts w:hint="eastAsia" w:ascii="Times New Roman" w:hAnsi="Times New Roman" w:eastAsia="宋体"/>
          <w:sz w:val="24"/>
          <w:szCs w:val="24"/>
          <w:lang w:val="en-US" w:eastAsia="zh-CN"/>
        </w:rPr>
        <w:t>5</w:t>
      </w:r>
      <w:r>
        <w:rPr>
          <w:rFonts w:hint="eastAsia" w:ascii="Times New Roman" w:hAnsi="Times New Roman" w:eastAsia="宋体"/>
          <w:sz w:val="24"/>
          <w:szCs w:val="24"/>
        </w:rPr>
        <w:t>、其它需要提交的资格审查证明材料。</w:t>
      </w:r>
    </w:p>
    <w:p>
      <w:pPr>
        <w:keepNext w:val="0"/>
        <w:keepLines w:val="0"/>
        <w:pageBreakBefore w:val="0"/>
        <w:widowControl w:val="0"/>
        <w:kinsoku/>
        <w:wordWrap/>
        <w:topLinePunct w:val="0"/>
        <w:autoSpaceDE/>
        <w:autoSpaceDN/>
        <w:bidi w:val="0"/>
        <w:spacing w:line="360" w:lineRule="auto"/>
        <w:ind w:firstLine="482" w:firstLineChars="200"/>
        <w:jc w:val="left"/>
        <w:textAlignment w:val="baseline"/>
        <w:rPr>
          <w:rFonts w:ascii="Times New Roman" w:hAnsi="Times New Roman" w:eastAsia="宋体"/>
          <w:b/>
          <w:sz w:val="24"/>
          <w:szCs w:val="24"/>
          <w:highlight w:val="none"/>
        </w:rPr>
      </w:pPr>
      <w:r>
        <w:rPr>
          <w:rFonts w:hint="eastAsia" w:ascii="Times New Roman" w:hAnsi="Times New Roman" w:eastAsia="宋体"/>
          <w:b/>
          <w:sz w:val="24"/>
          <w:szCs w:val="24"/>
          <w:highlight w:val="none"/>
        </w:rPr>
        <w:t>以上材料如为复印件均需加盖投标单位公章。</w:t>
      </w:r>
    </w:p>
    <w:p>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b/>
          <w:bCs/>
          <w:sz w:val="24"/>
          <w:szCs w:val="24"/>
        </w:rPr>
      </w:pPr>
      <w:r>
        <w:rPr>
          <w:rFonts w:hint="eastAsia" w:ascii="Times New Roman" w:hAnsi="Times New Roman" w:eastAsia="宋体"/>
          <w:b/>
          <w:bCs/>
          <w:sz w:val="24"/>
          <w:szCs w:val="24"/>
          <w:highlight w:val="none"/>
        </w:rPr>
        <w:t>二、技术响</w:t>
      </w:r>
      <w:r>
        <w:rPr>
          <w:rFonts w:hint="eastAsia" w:ascii="Times New Roman" w:hAnsi="Times New Roman" w:eastAsia="宋体"/>
          <w:b/>
          <w:bCs/>
          <w:sz w:val="24"/>
          <w:szCs w:val="24"/>
        </w:rPr>
        <w:t>应文件（单独密封）：</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bCs/>
          <w:sz w:val="24"/>
          <w:szCs w:val="24"/>
        </w:rPr>
      </w:pPr>
      <w:r>
        <w:rPr>
          <w:rFonts w:hint="eastAsia" w:ascii="Times New Roman" w:hAnsi="Times New Roman" w:eastAsia="宋体" w:cs="宋体"/>
          <w:bCs/>
          <w:sz w:val="24"/>
          <w:szCs w:val="24"/>
        </w:rPr>
        <w:t>1、</w:t>
      </w:r>
      <w:r>
        <w:rPr>
          <w:rFonts w:hint="eastAsia" w:ascii="Times New Roman" w:hAnsi="Times New Roman" w:cs="宋体"/>
          <w:sz w:val="24"/>
          <w:szCs w:val="24"/>
        </w:rPr>
        <w:t>磋商</w:t>
      </w:r>
      <w:r>
        <w:rPr>
          <w:rFonts w:ascii="Times New Roman" w:hAnsi="Times New Roman" w:cs="宋体"/>
          <w:sz w:val="24"/>
          <w:szCs w:val="24"/>
        </w:rPr>
        <w:t>响应函（格式参见第八章）</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bCs/>
          <w:sz w:val="24"/>
          <w:szCs w:val="24"/>
          <w:lang w:val="en-US" w:eastAsia="zh-CN"/>
        </w:rPr>
        <w:t>2、</w:t>
      </w:r>
      <w:r>
        <w:rPr>
          <w:rFonts w:hint="eastAsia" w:ascii="Times New Roman" w:hAnsi="Times New Roman" w:eastAsia="宋体" w:cs="宋体"/>
          <w:bCs/>
          <w:sz w:val="24"/>
          <w:szCs w:val="24"/>
        </w:rPr>
        <w:t>技术条款响应正负偏离表</w:t>
      </w:r>
      <w:r>
        <w:rPr>
          <w:rFonts w:hint="eastAsia" w:ascii="Times New Roman" w:hAnsi="Times New Roman" w:eastAsia="宋体" w:cs="宋体"/>
          <w:sz w:val="24"/>
          <w:szCs w:val="24"/>
        </w:rPr>
        <w:t>（格式参见附件）</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hint="default" w:eastAsia="宋体"/>
          <w:lang w:val="en-US" w:eastAsia="zh-CN"/>
        </w:rPr>
      </w:pPr>
      <w:r>
        <w:rPr>
          <w:rFonts w:hint="eastAsia" w:ascii="Times New Roman" w:hAnsi="Times New Roman" w:cs="宋体"/>
          <w:sz w:val="24"/>
          <w:szCs w:val="24"/>
          <w:lang w:val="en-US" w:eastAsia="zh-CN"/>
        </w:rPr>
        <w:t>3、商务</w:t>
      </w:r>
      <w:r>
        <w:rPr>
          <w:rFonts w:hint="eastAsia" w:ascii="Times New Roman" w:hAnsi="Times New Roman" w:eastAsia="宋体" w:cs="宋体"/>
          <w:bCs/>
          <w:sz w:val="24"/>
          <w:szCs w:val="24"/>
        </w:rPr>
        <w:t>条款响应正负偏离表</w:t>
      </w:r>
      <w:r>
        <w:rPr>
          <w:rFonts w:hint="eastAsia" w:ascii="Times New Roman" w:hAnsi="Times New Roman" w:eastAsia="宋体" w:cs="宋体"/>
          <w:sz w:val="24"/>
          <w:szCs w:val="24"/>
        </w:rPr>
        <w:t>（格式参见附件）</w:t>
      </w:r>
    </w:p>
    <w:p>
      <w:pPr>
        <w:keepNext w:val="0"/>
        <w:keepLines w:val="0"/>
        <w:pageBreakBefore w:val="0"/>
        <w:widowControl w:val="0"/>
        <w:kinsoku/>
        <w:wordWrap/>
        <w:topLinePunct w:val="0"/>
        <w:autoSpaceDE/>
        <w:autoSpaceDN/>
        <w:bidi w:val="0"/>
        <w:spacing w:line="360" w:lineRule="auto"/>
        <w:ind w:firstLine="480" w:firstLineChars="200"/>
        <w:jc w:val="left"/>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lang w:val="en-US" w:eastAsia="zh-CN"/>
        </w:rPr>
        <w:t>4、</w:t>
      </w:r>
      <w:r>
        <w:rPr>
          <w:rFonts w:hint="eastAsia" w:ascii="Times New Roman" w:hAnsi="Times New Roman" w:eastAsia="宋体" w:cs="宋体"/>
          <w:bCs/>
          <w:sz w:val="24"/>
          <w:szCs w:val="24"/>
        </w:rPr>
        <w:t>磋商文件中评分标准所涉及的事项需提供的所有资料；</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lang w:val="en-US" w:eastAsia="zh-CN"/>
        </w:rPr>
        <w:t>5</w:t>
      </w:r>
      <w:r>
        <w:rPr>
          <w:rFonts w:hint="eastAsia" w:ascii="Times New Roman" w:hAnsi="Times New Roman" w:eastAsia="宋体" w:cs="宋体"/>
          <w:bCs/>
          <w:sz w:val="24"/>
          <w:szCs w:val="24"/>
        </w:rPr>
        <w:t>、磋商文件中未涉及的事项，投标供应商认为需要提交的其他资料。</w:t>
      </w:r>
    </w:p>
    <w:p>
      <w:pPr>
        <w:keepNext w:val="0"/>
        <w:keepLines w:val="0"/>
        <w:pageBreakBefore w:val="0"/>
        <w:widowControl w:val="0"/>
        <w:kinsoku/>
        <w:wordWrap/>
        <w:topLinePunct w:val="0"/>
        <w:autoSpaceDE/>
        <w:autoSpaceDN/>
        <w:bidi w:val="0"/>
        <w:spacing w:line="360" w:lineRule="auto"/>
        <w:ind w:firstLine="482" w:firstLineChars="200"/>
        <w:jc w:val="left"/>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特别提醒：</w:t>
      </w:r>
      <w:r>
        <w:rPr>
          <w:rFonts w:hint="eastAsia" w:ascii="Times New Roman" w:hAnsi="Times New Roman" w:eastAsia="宋体" w:cs="宋体"/>
          <w:b/>
          <w:bCs/>
          <w:sz w:val="24"/>
          <w:szCs w:val="24"/>
          <w:lang w:eastAsia="zh-CN"/>
        </w:rPr>
        <w:t>“</w:t>
      </w:r>
      <w:r>
        <w:rPr>
          <w:rFonts w:hint="eastAsia" w:ascii="Times New Roman" w:hAnsi="Times New Roman" w:eastAsia="宋体" w:cs="宋体"/>
          <w:b/>
          <w:bCs/>
          <w:sz w:val="24"/>
          <w:szCs w:val="24"/>
        </w:rPr>
        <w:t>资格审查文件</w:t>
      </w:r>
      <w:r>
        <w:rPr>
          <w:rFonts w:hint="eastAsia" w:ascii="Times New Roman" w:hAnsi="Times New Roman" w:eastAsia="宋体" w:cs="宋体"/>
          <w:b/>
          <w:bCs/>
          <w:sz w:val="24"/>
          <w:szCs w:val="24"/>
          <w:lang w:eastAsia="zh-CN"/>
        </w:rPr>
        <w:t>”</w:t>
      </w:r>
      <w:r>
        <w:rPr>
          <w:rFonts w:hint="eastAsia" w:ascii="Times New Roman" w:hAnsi="Times New Roman" w:eastAsia="宋体" w:cs="宋体"/>
          <w:b/>
          <w:bCs/>
          <w:sz w:val="24"/>
          <w:szCs w:val="24"/>
        </w:rPr>
        <w:t>、</w:t>
      </w:r>
      <w:r>
        <w:rPr>
          <w:rFonts w:hint="eastAsia" w:ascii="Times New Roman" w:hAnsi="Times New Roman" w:eastAsia="宋体" w:cs="宋体"/>
          <w:b/>
          <w:bCs/>
          <w:sz w:val="24"/>
          <w:szCs w:val="24"/>
          <w:lang w:eastAsia="zh-CN"/>
        </w:rPr>
        <w:t>“</w:t>
      </w:r>
      <w:r>
        <w:rPr>
          <w:rFonts w:hint="eastAsia" w:ascii="Times New Roman" w:hAnsi="Times New Roman" w:eastAsia="宋体" w:cs="宋体"/>
          <w:b/>
          <w:bCs/>
          <w:sz w:val="24"/>
          <w:szCs w:val="24"/>
        </w:rPr>
        <w:t>技术响应文件</w:t>
      </w:r>
      <w:r>
        <w:rPr>
          <w:rFonts w:hint="eastAsia" w:ascii="Times New Roman" w:hAnsi="Times New Roman" w:eastAsia="宋体" w:cs="宋体"/>
          <w:b/>
          <w:bCs/>
          <w:sz w:val="24"/>
          <w:szCs w:val="24"/>
          <w:lang w:eastAsia="zh-CN"/>
        </w:rPr>
        <w:t>”</w:t>
      </w:r>
      <w:r>
        <w:rPr>
          <w:rFonts w:hint="eastAsia" w:ascii="Times New Roman" w:hAnsi="Times New Roman" w:eastAsia="宋体" w:cs="宋体"/>
          <w:b/>
          <w:bCs/>
          <w:sz w:val="24"/>
          <w:szCs w:val="24"/>
        </w:rPr>
        <w:t>所须提供的材料按磋商文件要求装订，密封，递交。</w:t>
      </w:r>
    </w:p>
    <w:p>
      <w:pPr>
        <w:keepNext w:val="0"/>
        <w:keepLines w:val="0"/>
        <w:pageBreakBefore w:val="0"/>
        <w:widowControl w:val="0"/>
        <w:kinsoku/>
        <w:wordWrap/>
        <w:topLinePunct w:val="0"/>
        <w:autoSpaceDE/>
        <w:autoSpaceDN/>
        <w:bidi w:val="0"/>
        <w:spacing w:line="360" w:lineRule="auto"/>
        <w:ind w:firstLine="482" w:firstLineChars="200"/>
        <w:jc w:val="left"/>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三、报价响应文件（单独密封）</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w:t>
      </w:r>
      <w:r>
        <w:rPr>
          <w:rFonts w:hint="eastAsia" w:ascii="Times New Roman" w:hAnsi="Times New Roman" w:cs="宋体"/>
          <w:sz w:val="24"/>
          <w:szCs w:val="24"/>
        </w:rPr>
        <w:t>磋商响应报价表（格式参见附件）</w:t>
      </w:r>
      <w:r>
        <w:rPr>
          <w:rFonts w:hint="eastAsia" w:ascii="Times New Roman" w:hAnsi="Times New Roman" w:eastAsia="宋体" w:cs="宋体"/>
          <w:sz w:val="24"/>
          <w:szCs w:val="24"/>
        </w:rPr>
        <w:t>；</w:t>
      </w:r>
    </w:p>
    <w:p>
      <w:pPr>
        <w:keepNext w:val="0"/>
        <w:keepLines w:val="0"/>
        <w:pageBreakBefore w:val="0"/>
        <w:widowControl w:val="0"/>
        <w:kinsoku/>
        <w:wordWrap/>
        <w:topLinePunct w:val="0"/>
        <w:autoSpaceDE/>
        <w:autoSpaceDN/>
        <w:bidi w:val="0"/>
        <w:spacing w:line="360" w:lineRule="auto"/>
        <w:ind w:firstLine="480" w:firstLineChars="200"/>
        <w:jc w:val="left"/>
        <w:textAlignment w:val="baseline"/>
        <w:rPr>
          <w:rFonts w:hint="eastAsia" w:ascii="Times New Roman" w:hAnsi="Times New Roman" w:eastAsia="宋体" w:cs="宋体"/>
          <w:bCs/>
          <w:sz w:val="24"/>
          <w:szCs w:val="24"/>
          <w:lang w:val="en-US" w:eastAsia="zh-CN"/>
        </w:rPr>
      </w:pPr>
      <w:r>
        <w:rPr>
          <w:rFonts w:hint="eastAsia" w:ascii="Times New Roman" w:hAnsi="Times New Roman" w:eastAsia="宋体" w:cs="宋体"/>
          <w:bCs/>
          <w:sz w:val="24"/>
          <w:szCs w:val="24"/>
          <w:lang w:val="en-US" w:eastAsia="zh-CN"/>
        </w:rPr>
        <w:t>2、磋商响应报价明细表；</w:t>
      </w:r>
    </w:p>
    <w:p>
      <w:pPr>
        <w:keepNext w:val="0"/>
        <w:keepLines w:val="0"/>
        <w:pageBreakBefore w:val="0"/>
        <w:widowControl w:val="0"/>
        <w:kinsoku/>
        <w:wordWrap/>
        <w:topLinePunct w:val="0"/>
        <w:autoSpaceDE/>
        <w:autoSpaceDN/>
        <w:bidi w:val="0"/>
        <w:spacing w:line="360" w:lineRule="auto"/>
        <w:ind w:firstLine="480" w:firstLineChars="200"/>
        <w:jc w:val="left"/>
        <w:textAlignment w:val="baseline"/>
        <w:rPr>
          <w:rFonts w:ascii="Times New Roman" w:hAnsi="Times New Roman" w:eastAsia="宋体"/>
          <w:b/>
          <w:sz w:val="24"/>
          <w:szCs w:val="24"/>
        </w:rPr>
      </w:pPr>
      <w:r>
        <w:rPr>
          <w:rFonts w:hint="eastAsia" w:ascii="Times New Roman" w:hAnsi="Times New Roman" w:eastAsia="宋体" w:cs="宋体"/>
          <w:bCs/>
          <w:sz w:val="24"/>
          <w:szCs w:val="24"/>
          <w:lang w:val="en-US" w:eastAsia="zh-CN"/>
        </w:rPr>
        <w:t>3、中小企业声明函</w:t>
      </w:r>
      <w:r>
        <w:rPr>
          <w:rFonts w:hint="eastAsia" w:ascii="Times New Roman" w:hAnsi="Times New Roman" w:eastAsia="宋体" w:cs="宋体"/>
          <w:bCs/>
          <w:sz w:val="24"/>
          <w:szCs w:val="24"/>
          <w:lang w:val="zh-CN" w:eastAsia="zh-CN"/>
        </w:rPr>
        <w:t>或《残疾人福利性单位声明函》或监</w:t>
      </w:r>
      <w:r>
        <w:rPr>
          <w:rFonts w:hint="eastAsia" w:ascii="Times New Roman" w:hAnsi="Times New Roman" w:eastAsia="宋体" w:cs="宋体"/>
          <w:bCs/>
          <w:sz w:val="24"/>
          <w:szCs w:val="24"/>
          <w:lang w:val="en-US" w:eastAsia="zh-CN"/>
        </w:rPr>
        <w:t>狱和戒毒企业证明材料（如涉有）</w:t>
      </w:r>
      <w:r>
        <w:rPr>
          <w:rFonts w:hint="eastAsia" w:ascii="Times New Roman" w:hAnsi="Times New Roman" w:cs="宋体"/>
          <w:sz w:val="24"/>
          <w:szCs w:val="24"/>
        </w:rPr>
        <w:br w:type="page"/>
      </w:r>
    </w:p>
    <w:p>
      <w:pPr>
        <w:keepNext w:val="0"/>
        <w:keepLines w:val="0"/>
        <w:pageBreakBefore w:val="0"/>
        <w:widowControl w:val="0"/>
        <w:kinsoku/>
        <w:wordWrap/>
        <w:topLinePunct w:val="0"/>
        <w:autoSpaceDE/>
        <w:autoSpaceDN/>
        <w:bidi w:val="0"/>
        <w:spacing w:line="360" w:lineRule="auto"/>
        <w:jc w:val="left"/>
        <w:textAlignment w:val="baseline"/>
        <w:rPr>
          <w:rFonts w:ascii="Times New Roman" w:hAnsi="Times New Roman" w:eastAsia="宋体"/>
          <w:b/>
          <w:sz w:val="24"/>
        </w:rPr>
      </w:pPr>
      <w:r>
        <w:rPr>
          <w:rFonts w:hint="eastAsia" w:ascii="Times New Roman" w:hAnsi="Times New Roman" w:eastAsia="宋体"/>
          <w:b/>
          <w:sz w:val="24"/>
          <w:szCs w:val="24"/>
        </w:rPr>
        <w:t>附件:</w:t>
      </w:r>
    </w:p>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sz w:val="24"/>
          <w:szCs w:val="24"/>
        </w:rPr>
      </w:pPr>
      <w:r>
        <w:rPr>
          <w:rFonts w:hint="eastAsia" w:ascii="Times New Roman" w:hAnsi="Times New Roman" w:eastAsia="宋体"/>
          <w:b/>
          <w:sz w:val="24"/>
          <w:szCs w:val="24"/>
        </w:rPr>
        <w:t>1、法定代表人身份证明</w:t>
      </w:r>
    </w:p>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（法定代表人参加投标，须出示此证明）</w:t>
      </w:r>
    </w:p>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rPr>
      </w:pPr>
      <w:r>
        <w:rPr>
          <w:rFonts w:hint="eastAsia" w:ascii="Times New Roman" w:hAnsi="Times New Roman" w:eastAsia="宋体"/>
          <w:sz w:val="24"/>
          <w:szCs w:val="24"/>
          <w:u w:val="single"/>
        </w:rPr>
        <w:t>南通市第三人民医院</w:t>
      </w:r>
      <w:r>
        <w:rPr>
          <w:rFonts w:hint="eastAsia" w:ascii="Times New Roman" w:hAnsi="Times New Roman" w:eastAsia="宋体" w:cs="宋体"/>
          <w:sz w:val="24"/>
          <w:szCs w:val="24"/>
        </w:rPr>
        <w:t>：</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我公司法定代表人</w:t>
      </w:r>
      <w:r>
        <w:rPr>
          <w:rFonts w:hint="eastAsia" w:ascii="Times New Roman" w:hAnsi="Times New Roman" w:eastAsia="宋体" w:cs="宋体"/>
          <w:sz w:val="24"/>
          <w:szCs w:val="24"/>
          <w:u w:val="single"/>
        </w:rPr>
        <w:t>　　　</w:t>
      </w:r>
      <w:r>
        <w:rPr>
          <w:rFonts w:hint="eastAsia" w:ascii="Times New Roman" w:hAnsi="Times New Roman" w:eastAsia="宋体" w:cs="宋体"/>
          <w:sz w:val="24"/>
          <w:szCs w:val="24"/>
        </w:rPr>
        <w:t>参加贵单位组织的</w:t>
      </w:r>
      <w:r>
        <w:rPr>
          <w:rFonts w:hint="eastAsia" w:ascii="Times New Roman" w:hAnsi="Times New Roman" w:eastAsia="宋体"/>
          <w:sz w:val="24"/>
          <w:szCs w:val="24"/>
          <w:u w:val="single"/>
          <w:lang w:eastAsia="zh-CN"/>
        </w:rPr>
        <w:t>南通市第三人民医院多学科会诊平台项目</w:t>
      </w:r>
      <w:r>
        <w:rPr>
          <w:rFonts w:hint="eastAsia" w:ascii="Times New Roman" w:hAnsi="Times New Roman" w:eastAsia="宋体" w:cs="宋体"/>
          <w:sz w:val="24"/>
          <w:szCs w:val="24"/>
        </w:rPr>
        <w:t>（竞争性磋商项目名称）项目的磋商活动，全权代表我公司处理该磋商活动的有关事宜。</w:t>
      </w: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rPr>
      </w:pP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附：法定代表人情况：</w:t>
      </w: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u w:val="single"/>
        </w:rPr>
      </w:pPr>
      <w:r>
        <w:rPr>
          <w:rFonts w:hint="eastAsia" w:ascii="Times New Roman" w:hAnsi="Times New Roman" w:eastAsia="宋体" w:cs="宋体"/>
          <w:sz w:val="24"/>
          <w:szCs w:val="24"/>
        </w:rPr>
        <w:t>姓名：性别：年龄：职务：</w:t>
      </w: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身份证号码：</w:t>
      </w: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手机：传真：</w:t>
      </w: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 </w:t>
      </w: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rPr>
      </w:pP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单位名称（公章）法定代表人（签字或盖章）</w:t>
      </w:r>
    </w:p>
    <w:p>
      <w:pPr>
        <w:keepNext w:val="0"/>
        <w:keepLines w:val="0"/>
        <w:pageBreakBefore w:val="0"/>
        <w:widowControl w:val="0"/>
        <w:kinsoku/>
        <w:wordWrap/>
        <w:topLinePunct w:val="0"/>
        <w:autoSpaceDE/>
        <w:autoSpaceDN/>
        <w:bidi w:val="0"/>
        <w:spacing w:line="360" w:lineRule="auto"/>
        <w:ind w:firstLine="1200" w:firstLineChars="5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年月日年月日</w:t>
      </w: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rPr>
      </w:pP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法定代表人身份证复印件</w:t>
      </w: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rPr>
      </w:pPr>
    </w:p>
    <w:p>
      <w:pPr>
        <w:keepNext w:val="0"/>
        <w:keepLines w:val="0"/>
        <w:pageBreakBefore w:val="0"/>
        <w:widowControl w:val="0"/>
        <w:kinsoku/>
        <w:wordWrap/>
        <w:topLinePunct w:val="0"/>
        <w:autoSpaceDE/>
        <w:autoSpaceDN/>
        <w:bidi w:val="0"/>
        <w:spacing w:line="360" w:lineRule="auto"/>
        <w:ind w:firstLine="2280" w:firstLineChars="950"/>
        <w:textAlignment w:val="baseline"/>
        <w:rPr>
          <w:rFonts w:ascii="Times New Roman" w:hAnsi="Times New Roman" w:eastAsia="宋体" w:cs="宋体"/>
          <w:sz w:val="24"/>
          <w:szCs w:val="24"/>
        </w:rPr>
      </w:pPr>
      <w:r>
        <w:rPr>
          <w:rFonts w:hint="eastAsia" w:ascii="Times New Roman" w:hAnsi="Times New Roman" w:eastAsia="宋体" w:cs="宋体"/>
          <w:sz w:val="24"/>
          <w:szCs w:val="24"/>
        </w:rPr>
        <w:t>（粘贴此处）</w:t>
      </w:r>
    </w:p>
    <w:p>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注:参加磋商活动时法定代表人将身份证原件带至开标现场备查。</w:t>
      </w:r>
    </w:p>
    <w:p>
      <w:pPr>
        <w:keepNext w:val="0"/>
        <w:keepLines w:val="0"/>
        <w:pageBreakBefore w:val="0"/>
        <w:widowControl w:val="0"/>
        <w:kinsoku/>
        <w:wordWrap/>
        <w:topLinePunct w:val="0"/>
        <w:autoSpaceDE/>
        <w:autoSpaceDN/>
        <w:bidi w:val="0"/>
        <w:spacing w:line="360" w:lineRule="auto"/>
        <w:jc w:val="left"/>
        <w:rPr>
          <w:rFonts w:ascii="Times New Roman" w:hAnsi="Times New Roman" w:eastAsia="宋体" w:cs="宋体"/>
          <w:b/>
          <w:bCs/>
          <w:sz w:val="24"/>
          <w:szCs w:val="24"/>
        </w:rPr>
      </w:pPr>
      <w:r>
        <w:rPr>
          <w:rFonts w:ascii="Times New Roman" w:hAnsi="Times New Roman" w:eastAsia="宋体" w:cs="宋体"/>
          <w:b/>
          <w:bCs/>
          <w:sz w:val="24"/>
          <w:szCs w:val="24"/>
        </w:rPr>
        <w:br w:type="page"/>
      </w:r>
    </w:p>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sz w:val="20"/>
        </w:rPr>
      </w:pPr>
      <w:r>
        <w:rPr>
          <w:rFonts w:hint="eastAsia" w:ascii="Times New Roman" w:hAnsi="Times New Roman" w:eastAsia="宋体"/>
          <w:b/>
          <w:sz w:val="24"/>
          <w:szCs w:val="24"/>
        </w:rPr>
        <w:t>2、授权委托书</w:t>
      </w:r>
    </w:p>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（委托代理人参加投标，须出示此证明）</w:t>
      </w: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bCs/>
          <w:sz w:val="24"/>
          <w:szCs w:val="24"/>
        </w:rPr>
      </w:pPr>
      <w:r>
        <w:rPr>
          <w:rFonts w:hint="eastAsia" w:ascii="Times New Roman" w:hAnsi="Times New Roman" w:eastAsia="宋体"/>
          <w:sz w:val="24"/>
          <w:szCs w:val="24"/>
          <w:u w:val="single"/>
        </w:rPr>
        <w:t>南通市第三人民医院</w:t>
      </w:r>
      <w:r>
        <w:rPr>
          <w:rFonts w:hint="eastAsia" w:ascii="Times New Roman" w:hAnsi="Times New Roman" w:eastAsia="宋体" w:cs="宋体"/>
          <w:sz w:val="24"/>
          <w:szCs w:val="24"/>
        </w:rPr>
        <w:t>：</w:t>
      </w:r>
    </w:p>
    <w:p>
      <w:pPr>
        <w:keepNext w:val="0"/>
        <w:keepLines w:val="0"/>
        <w:pageBreakBefore w:val="0"/>
        <w:widowControl w:val="0"/>
        <w:kinsoku/>
        <w:wordWrap/>
        <w:topLinePunct w:val="0"/>
        <w:autoSpaceDE/>
        <w:autoSpaceDN/>
        <w:bidi w:val="0"/>
        <w:spacing w:line="360" w:lineRule="auto"/>
        <w:ind w:left="1"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兹授权</w:t>
      </w:r>
      <w:r>
        <w:rPr>
          <w:rFonts w:hint="eastAsia" w:ascii="Times New Roman" w:hAnsi="Times New Roman" w:eastAsia="宋体" w:cs="宋体"/>
          <w:sz w:val="24"/>
          <w:szCs w:val="24"/>
          <w:u w:val="single"/>
        </w:rPr>
        <w:t>（</w:t>
      </w:r>
      <w:r>
        <w:rPr>
          <w:rFonts w:hint="eastAsia" w:ascii="Times New Roman" w:hAnsi="Times New Roman" w:eastAsia="宋体" w:cs="宋体"/>
          <w:sz w:val="24"/>
          <w:szCs w:val="24"/>
        </w:rPr>
        <w:t>被授权人的姓名）代表我公司参加</w:t>
      </w:r>
      <w:r>
        <w:rPr>
          <w:rFonts w:hint="eastAsia" w:ascii="Times New Roman" w:hAnsi="Times New Roman" w:eastAsia="宋体"/>
          <w:sz w:val="24"/>
          <w:szCs w:val="24"/>
          <w:u w:val="single"/>
          <w:lang w:eastAsia="zh-CN"/>
        </w:rPr>
        <w:t>南通市第三人民医院多学科会诊平台项目</w:t>
      </w:r>
      <w:r>
        <w:rPr>
          <w:rFonts w:hint="eastAsia" w:ascii="Times New Roman" w:hAnsi="Times New Roman" w:eastAsia="宋体" w:cs="宋体"/>
          <w:sz w:val="24"/>
          <w:szCs w:val="24"/>
        </w:rPr>
        <w:t>（竞争性磋商项目名称）项目的磋商活动，全权处理一切与该项目磋商有关的事务。其在办理上述事宜过程中所签署的所有文件我公司均予以承认。</w:t>
      </w:r>
    </w:p>
    <w:p>
      <w:pPr>
        <w:keepNext w:val="0"/>
        <w:keepLines w:val="0"/>
        <w:pageBreakBefore w:val="0"/>
        <w:widowControl w:val="0"/>
        <w:kinsoku/>
        <w:wordWrap/>
        <w:topLinePunct w:val="0"/>
        <w:autoSpaceDE/>
        <w:autoSpaceDN/>
        <w:bidi w:val="0"/>
        <w:spacing w:line="360" w:lineRule="auto"/>
        <w:ind w:left="1" w:firstLine="480" w:firstLineChars="200"/>
        <w:textAlignment w:val="baseline"/>
        <w:rPr>
          <w:rFonts w:ascii="Times New Roman" w:hAnsi="Times New Roman" w:eastAsia="宋体"/>
          <w:sz w:val="24"/>
          <w:szCs w:val="24"/>
        </w:rPr>
      </w:pPr>
      <w:r>
        <w:rPr>
          <w:rFonts w:hint="eastAsia" w:ascii="Times New Roman" w:hAnsi="Times New Roman" w:eastAsia="宋体" w:cs="宋体"/>
          <w:sz w:val="24"/>
          <w:szCs w:val="24"/>
        </w:rPr>
        <w:t>被授权人无转委托权。特此委托。</w:t>
      </w:r>
    </w:p>
    <w:p>
      <w:pPr>
        <w:keepNext w:val="0"/>
        <w:keepLines w:val="0"/>
        <w:pageBreakBefore w:val="0"/>
        <w:widowControl w:val="0"/>
        <w:kinsoku/>
        <w:wordWrap/>
        <w:topLinePunct w:val="0"/>
        <w:autoSpaceDE/>
        <w:autoSpaceDN/>
        <w:bidi w:val="0"/>
        <w:spacing w:line="360" w:lineRule="auto"/>
        <w:ind w:left="1" w:firstLine="480" w:firstLineChars="200"/>
        <w:textAlignment w:val="baseline"/>
        <w:rPr>
          <w:rFonts w:ascii="Times New Roman" w:hAnsi="Times New Roman" w:eastAsia="宋体" w:cs="宋体"/>
          <w:sz w:val="24"/>
          <w:szCs w:val="24"/>
        </w:rPr>
      </w:pP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rPr>
      </w:pP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附：被授权人情况：</w:t>
      </w: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u w:val="single"/>
        </w:rPr>
      </w:pPr>
      <w:r>
        <w:rPr>
          <w:rFonts w:hint="eastAsia" w:ascii="Times New Roman" w:hAnsi="Times New Roman" w:eastAsia="宋体" w:cs="宋体"/>
          <w:sz w:val="24"/>
          <w:szCs w:val="24"/>
        </w:rPr>
        <w:t>姓名：性别：年龄：职务：</w:t>
      </w: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身份证号码：</w:t>
      </w: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手机：传真：</w:t>
      </w: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 </w:t>
      </w: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单位名称（公章）法定代表人（签字或盖章）</w:t>
      </w:r>
    </w:p>
    <w:p>
      <w:pPr>
        <w:keepNext w:val="0"/>
        <w:keepLines w:val="0"/>
        <w:pageBreakBefore w:val="0"/>
        <w:widowControl w:val="0"/>
        <w:kinsoku/>
        <w:wordWrap/>
        <w:topLinePunct w:val="0"/>
        <w:autoSpaceDE/>
        <w:autoSpaceDN/>
        <w:bidi w:val="0"/>
        <w:spacing w:line="360" w:lineRule="auto"/>
        <w:ind w:firstLine="1200" w:firstLineChars="5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年月日年月日</w:t>
      </w: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rPr>
      </w:pP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法定代表人身份证复印件</w:t>
      </w: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rPr>
      </w:pPr>
    </w:p>
    <w:p>
      <w:pPr>
        <w:keepNext w:val="0"/>
        <w:keepLines w:val="0"/>
        <w:pageBreakBefore w:val="0"/>
        <w:widowControl w:val="0"/>
        <w:kinsoku/>
        <w:wordWrap/>
        <w:topLinePunct w:val="0"/>
        <w:autoSpaceDE/>
        <w:autoSpaceDN/>
        <w:bidi w:val="0"/>
        <w:spacing w:line="360" w:lineRule="auto"/>
        <w:ind w:firstLine="3960" w:firstLineChars="1650"/>
        <w:textAlignment w:val="baseline"/>
        <w:rPr>
          <w:rFonts w:ascii="Times New Roman" w:hAnsi="Times New Roman" w:eastAsia="宋体" w:cs="宋体"/>
          <w:sz w:val="24"/>
          <w:szCs w:val="24"/>
        </w:rPr>
      </w:pPr>
      <w:r>
        <w:rPr>
          <w:rFonts w:hint="eastAsia" w:ascii="Times New Roman" w:hAnsi="Times New Roman" w:eastAsia="宋体" w:cs="宋体"/>
          <w:sz w:val="24"/>
          <w:szCs w:val="24"/>
        </w:rPr>
        <w:t>（粘贴此处）</w:t>
      </w: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被授权人身份证复印件</w:t>
      </w:r>
    </w:p>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b/>
          <w:bCs/>
          <w:sz w:val="24"/>
          <w:szCs w:val="24"/>
        </w:rPr>
      </w:pPr>
      <w:r>
        <w:rPr>
          <w:rFonts w:hint="eastAsia" w:ascii="Times New Roman" w:hAnsi="Times New Roman" w:eastAsia="宋体" w:cs="宋体"/>
          <w:sz w:val="24"/>
          <w:szCs w:val="24"/>
        </w:rPr>
        <w:t>（粘贴此处）</w:t>
      </w: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注:参加磋商活动时被授权人将身份证原件带至开标现场备查。</w:t>
      </w:r>
    </w:p>
    <w:p>
      <w:pPr>
        <w:keepNext w:val="0"/>
        <w:keepLines w:val="0"/>
        <w:pageBreakBefore w:val="0"/>
        <w:widowControl w:val="0"/>
        <w:kinsoku/>
        <w:wordWrap/>
        <w:topLinePunct w:val="0"/>
        <w:autoSpaceDE/>
        <w:autoSpaceDN/>
        <w:bidi w:val="0"/>
        <w:spacing w:line="360" w:lineRule="auto"/>
        <w:jc w:val="left"/>
        <w:rPr>
          <w:rFonts w:ascii="Times New Roman" w:hAnsi="Times New Roman" w:eastAsia="宋体" w:cs="宋体"/>
          <w:sz w:val="24"/>
          <w:szCs w:val="24"/>
        </w:rPr>
      </w:pPr>
    </w:p>
    <w:p>
      <w:pPr>
        <w:keepNext w:val="0"/>
        <w:keepLines w:val="0"/>
        <w:pageBreakBefore w:val="0"/>
        <w:widowControl w:val="0"/>
        <w:kinsoku/>
        <w:wordWrap/>
        <w:topLinePunct w:val="0"/>
        <w:autoSpaceDE/>
        <w:autoSpaceDN/>
        <w:bidi w:val="0"/>
        <w:spacing w:line="360" w:lineRule="auto"/>
        <w:jc w:val="left"/>
        <w:rPr>
          <w:rFonts w:ascii="Times New Roman" w:hAnsi="Times New Roman" w:eastAsia="宋体"/>
          <w:b/>
          <w:sz w:val="24"/>
          <w:szCs w:val="24"/>
        </w:rPr>
      </w:pPr>
      <w:r>
        <w:rPr>
          <w:rFonts w:ascii="Times New Roman" w:hAnsi="Times New Roman" w:eastAsia="宋体"/>
          <w:b/>
          <w:sz w:val="24"/>
          <w:szCs w:val="24"/>
        </w:rPr>
        <w:br w:type="page"/>
      </w:r>
    </w:p>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sz w:val="24"/>
          <w:szCs w:val="24"/>
        </w:rPr>
      </w:pPr>
      <w:r>
        <w:rPr>
          <w:rFonts w:hint="eastAsia" w:ascii="Times New Roman" w:hAnsi="Times New Roman" w:eastAsia="宋体"/>
          <w:b/>
          <w:sz w:val="24"/>
          <w:szCs w:val="24"/>
        </w:rPr>
        <w:t>3、供应商符合《中华人民共和国政府采购法》第二十二条规定条件的声明函</w:t>
      </w:r>
    </w:p>
    <w:p>
      <w:pPr>
        <w:keepNext w:val="0"/>
        <w:keepLines w:val="0"/>
        <w:pageBreakBefore w:val="0"/>
        <w:widowControl w:val="0"/>
        <w:kinsoku/>
        <w:wordWrap/>
        <w:topLinePunct w:val="0"/>
        <w:autoSpaceDE/>
        <w:autoSpaceDN/>
        <w:bidi w:val="0"/>
        <w:snapToGrid w:val="0"/>
        <w:spacing w:line="360" w:lineRule="auto"/>
        <w:rPr>
          <w:rFonts w:ascii="Times New Roman" w:hAnsi="Times New Roman" w:eastAsia="宋体" w:cs="Times New Roman"/>
          <w:sz w:val="24"/>
          <w:szCs w:val="21"/>
          <w:u w:val="single"/>
        </w:rPr>
      </w:pPr>
    </w:p>
    <w:p>
      <w:pPr>
        <w:keepNext w:val="0"/>
        <w:keepLines w:val="0"/>
        <w:pageBreakBefore w:val="0"/>
        <w:widowControl w:val="0"/>
        <w:kinsoku/>
        <w:wordWrap/>
        <w:topLinePunct w:val="0"/>
        <w:autoSpaceDE/>
        <w:autoSpaceDN/>
        <w:bidi w:val="0"/>
        <w:snapToGrid w:val="0"/>
        <w:spacing w:line="360" w:lineRule="auto"/>
        <w:rPr>
          <w:rFonts w:ascii="Times New Roman" w:hAnsi="Times New Roman" w:eastAsia="宋体" w:cs="Times New Roman"/>
          <w:bCs/>
          <w:sz w:val="24"/>
          <w:szCs w:val="21"/>
        </w:rPr>
      </w:pPr>
      <w:r>
        <w:rPr>
          <w:rFonts w:hint="eastAsia" w:ascii="Times New Roman" w:hAnsi="Times New Roman" w:eastAsia="宋体"/>
          <w:color w:val="000000" w:themeColor="text1"/>
          <w:sz w:val="24"/>
          <w:szCs w:val="24"/>
          <w:u w:val="single"/>
          <w14:textFill>
            <w14:solidFill>
              <w14:schemeClr w14:val="tx1"/>
            </w14:solidFill>
          </w14:textFill>
        </w:rPr>
        <w:t>南通市第三人民医院</w:t>
      </w:r>
      <w:r>
        <w:rPr>
          <w:rFonts w:ascii="Times New Roman" w:hAnsi="Times New Roman" w:eastAsia="宋体" w:cs="Times New Roman"/>
          <w:bCs/>
          <w:sz w:val="24"/>
          <w:szCs w:val="21"/>
        </w:rPr>
        <w:t>：</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Times New Roman"/>
          <w:b/>
          <w:bCs/>
          <w:sz w:val="24"/>
          <w:szCs w:val="21"/>
        </w:rPr>
      </w:pPr>
      <w:r>
        <w:rPr>
          <w:rFonts w:hint="eastAsia" w:ascii="Times New Roman" w:hAnsi="Times New Roman" w:eastAsia="宋体" w:cs="Times New Roman"/>
          <w:bCs/>
          <w:sz w:val="24"/>
          <w:szCs w:val="21"/>
        </w:rPr>
        <w:t>我单位参加</w:t>
      </w:r>
      <w:r>
        <w:rPr>
          <w:rFonts w:hint="eastAsia" w:ascii="Times New Roman" w:hAnsi="Times New Roman" w:eastAsia="宋体" w:cs="Times New Roman"/>
          <w:bCs/>
          <w:sz w:val="24"/>
          <w:szCs w:val="21"/>
          <w:u w:val="single"/>
        </w:rPr>
        <w:t>________________ _</w:t>
      </w:r>
      <w:r>
        <w:rPr>
          <w:rFonts w:hint="eastAsia" w:ascii="Times New Roman" w:hAnsi="Times New Roman" w:eastAsia="宋体" w:cs="Times New Roman"/>
          <w:bCs/>
          <w:sz w:val="24"/>
          <w:szCs w:val="21"/>
        </w:rPr>
        <w:t>（项目名称），</w:t>
      </w:r>
      <w:r>
        <w:rPr>
          <w:rFonts w:hint="eastAsia" w:ascii="Times New Roman" w:hAnsi="Times New Roman" w:eastAsia="宋体" w:cs="Times New Roman"/>
          <w:bCs/>
          <w:sz w:val="24"/>
          <w:szCs w:val="21"/>
          <w:u w:val="single"/>
        </w:rPr>
        <w:t>_______ __________</w:t>
      </w:r>
      <w:r>
        <w:rPr>
          <w:rFonts w:hint="eastAsia" w:ascii="Times New Roman" w:hAnsi="Times New Roman" w:eastAsia="宋体" w:cs="Times New Roman"/>
          <w:bCs/>
          <w:sz w:val="24"/>
          <w:szCs w:val="21"/>
        </w:rPr>
        <w:t>（项目编号）竞争性磋商活动。针对《中华人民共和国政府采购法》第二十二条规定做出如下声明：</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bCs/>
          <w:sz w:val="24"/>
          <w:szCs w:val="21"/>
        </w:rPr>
        <w:t>1.我单位具有独立承担民事责任的能力；</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2.我单位具有良好的商业信誉和健全的财务会计制度；</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3.我单位具有履行合同所必需的设备和专业技术能力；</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4.我单位有依法缴纳税收和社会保障资金的良好记录；</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w:t>
      </w:r>
      <w:r>
        <w:rPr>
          <w:rFonts w:hint="eastAsia" w:ascii="Times New Roman" w:hAnsi="Times New Roman" w:eastAsia="宋体" w:cs="Times New Roman"/>
          <w:sz w:val="24"/>
          <w:szCs w:val="21"/>
          <w:lang w:eastAsia="zh-CN"/>
        </w:rPr>
        <w:t>“</w:t>
      </w:r>
      <w:r>
        <w:rPr>
          <w:rFonts w:hint="eastAsia" w:ascii="Times New Roman" w:hAnsi="Times New Roman" w:eastAsia="宋体" w:cs="Times New Roman"/>
          <w:sz w:val="24"/>
          <w:szCs w:val="21"/>
        </w:rPr>
        <w:t>较大数额罚款</w:t>
      </w:r>
      <w:r>
        <w:rPr>
          <w:rFonts w:hint="eastAsia" w:ascii="Times New Roman" w:hAnsi="Times New Roman" w:eastAsia="宋体" w:cs="Times New Roman"/>
          <w:sz w:val="24"/>
          <w:szCs w:val="21"/>
          <w:lang w:eastAsia="zh-CN"/>
        </w:rPr>
        <w:t>”</w:t>
      </w:r>
      <w:r>
        <w:rPr>
          <w:rFonts w:hint="eastAsia" w:ascii="Times New Roman" w:hAnsi="Times New Roman" w:eastAsia="宋体" w:cs="Times New Roman"/>
          <w:sz w:val="24"/>
          <w:szCs w:val="21"/>
        </w:rPr>
        <w:t>认定为200万元以上的罚款，法律、行政法规以及国务院有关部门明确规定相关领域</w:t>
      </w:r>
      <w:r>
        <w:rPr>
          <w:rFonts w:hint="eastAsia" w:ascii="Times New Roman" w:hAnsi="Times New Roman" w:eastAsia="宋体" w:cs="Times New Roman"/>
          <w:sz w:val="24"/>
          <w:szCs w:val="21"/>
          <w:lang w:eastAsia="zh-CN"/>
        </w:rPr>
        <w:t>“</w:t>
      </w:r>
      <w:r>
        <w:rPr>
          <w:rFonts w:hint="eastAsia" w:ascii="Times New Roman" w:hAnsi="Times New Roman" w:eastAsia="宋体" w:cs="Times New Roman"/>
          <w:sz w:val="24"/>
          <w:szCs w:val="21"/>
        </w:rPr>
        <w:t>较大数额罚款</w:t>
      </w:r>
      <w:r>
        <w:rPr>
          <w:rFonts w:hint="eastAsia" w:ascii="Times New Roman" w:hAnsi="Times New Roman" w:eastAsia="宋体" w:cs="Times New Roman"/>
          <w:sz w:val="24"/>
          <w:szCs w:val="21"/>
          <w:lang w:eastAsia="zh-CN"/>
        </w:rPr>
        <w:t>”</w:t>
      </w:r>
      <w:r>
        <w:rPr>
          <w:rFonts w:hint="eastAsia" w:ascii="Times New Roman" w:hAnsi="Times New Roman" w:eastAsia="宋体" w:cs="Times New Roman"/>
          <w:sz w:val="24"/>
          <w:szCs w:val="21"/>
        </w:rPr>
        <w:t>标准高于200万元的，从其规定。）</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Times New Roman"/>
          <w:bCs/>
          <w:color w:val="000000"/>
          <w:sz w:val="24"/>
          <w:szCs w:val="21"/>
        </w:rPr>
      </w:pPr>
      <w:r>
        <w:rPr>
          <w:rFonts w:hint="eastAsia" w:ascii="Times New Roman" w:hAnsi="Times New Roman" w:eastAsia="宋体" w:cs="Times New Roman"/>
          <w:sz w:val="24"/>
          <w:szCs w:val="21"/>
        </w:rPr>
        <w:t>6.我单位满足法律、行政法规规定的其他条件。</w:t>
      </w:r>
    </w:p>
    <w:p>
      <w:pPr>
        <w:keepNext w:val="0"/>
        <w:keepLines w:val="0"/>
        <w:pageBreakBefore w:val="0"/>
        <w:widowControl w:val="0"/>
        <w:kinsoku/>
        <w:wordWrap/>
        <w:topLinePunct w:val="0"/>
        <w:autoSpaceDE/>
        <w:autoSpaceDN/>
        <w:bidi w:val="0"/>
        <w:spacing w:line="360" w:lineRule="auto"/>
        <w:rPr>
          <w:rFonts w:ascii="Times New Roman" w:hAnsi="Times New Roman" w:eastAsia="宋体" w:cs="Times New Roman"/>
          <w:sz w:val="28"/>
          <w:szCs w:val="20"/>
        </w:rPr>
      </w:pPr>
    </w:p>
    <w:p>
      <w:pPr>
        <w:keepNext w:val="0"/>
        <w:keepLines w:val="0"/>
        <w:pageBreakBefore w:val="0"/>
        <w:widowControl w:val="0"/>
        <w:kinsoku/>
        <w:wordWrap/>
        <w:topLinePunct w:val="0"/>
        <w:autoSpaceDE/>
        <w:autoSpaceDN/>
        <w:bidi w:val="0"/>
        <w:spacing w:line="360" w:lineRule="auto"/>
        <w:ind w:firstLine="480" w:firstLineChars="200"/>
        <w:jc w:val="right"/>
        <w:rPr>
          <w:rFonts w:ascii="Times New Roman" w:hAnsi="Times New Roman" w:eastAsia="宋体" w:cs="宋体"/>
          <w:sz w:val="24"/>
          <w:szCs w:val="24"/>
        </w:rPr>
      </w:pPr>
    </w:p>
    <w:p>
      <w:pPr>
        <w:keepNext w:val="0"/>
        <w:keepLines w:val="0"/>
        <w:pageBreakBefore w:val="0"/>
        <w:widowControl w:val="0"/>
        <w:kinsoku/>
        <w:wordWrap/>
        <w:topLinePunct w:val="0"/>
        <w:autoSpaceDE/>
        <w:autoSpaceDN/>
        <w:bidi w:val="0"/>
        <w:spacing w:line="360" w:lineRule="auto"/>
        <w:ind w:firstLine="480" w:firstLineChars="200"/>
        <w:jc w:val="right"/>
        <w:rPr>
          <w:rFonts w:ascii="Times New Roman" w:hAnsi="Times New Roman" w:eastAsia="宋体" w:cs="宋体"/>
          <w:sz w:val="24"/>
          <w:szCs w:val="24"/>
        </w:rPr>
      </w:pPr>
      <w:r>
        <w:rPr>
          <w:rFonts w:hint="eastAsia" w:ascii="Times New Roman" w:hAnsi="Times New Roman" w:eastAsia="宋体" w:cs="宋体"/>
          <w:sz w:val="24"/>
          <w:szCs w:val="24"/>
        </w:rPr>
        <w:t>投标供应商：（加盖公章）</w:t>
      </w:r>
    </w:p>
    <w:p>
      <w:pPr>
        <w:keepNext w:val="0"/>
        <w:keepLines w:val="0"/>
        <w:pageBreakBefore w:val="0"/>
        <w:widowControl w:val="0"/>
        <w:kinsoku/>
        <w:wordWrap/>
        <w:topLinePunct w:val="0"/>
        <w:autoSpaceDE/>
        <w:autoSpaceDN/>
        <w:bidi w:val="0"/>
        <w:spacing w:line="360" w:lineRule="auto"/>
        <w:ind w:firstLine="480" w:firstLineChars="200"/>
        <w:jc w:val="right"/>
        <w:rPr>
          <w:rFonts w:ascii="Times New Roman" w:hAnsi="Times New Roman" w:eastAsia="宋体" w:cs="宋体"/>
          <w:sz w:val="24"/>
          <w:szCs w:val="24"/>
        </w:rPr>
      </w:pPr>
      <w:r>
        <w:rPr>
          <w:rFonts w:hint="eastAsia" w:ascii="Times New Roman" w:hAnsi="Times New Roman" w:eastAsia="宋体" w:cs="宋体"/>
          <w:sz w:val="24"/>
          <w:szCs w:val="24"/>
        </w:rPr>
        <w:t>法定代表人或被授权人：（签字或盖章）</w:t>
      </w:r>
    </w:p>
    <w:p>
      <w:pPr>
        <w:keepNext w:val="0"/>
        <w:keepLines w:val="0"/>
        <w:pageBreakBefore w:val="0"/>
        <w:widowControl w:val="0"/>
        <w:kinsoku/>
        <w:wordWrap/>
        <w:topLinePunct w:val="0"/>
        <w:autoSpaceDE/>
        <w:autoSpaceDN/>
        <w:bidi w:val="0"/>
        <w:spacing w:line="360" w:lineRule="auto"/>
        <w:ind w:firstLine="1320" w:firstLineChars="550"/>
        <w:jc w:val="right"/>
        <w:rPr>
          <w:rFonts w:ascii="Times New Roman" w:hAnsi="Times New Roman" w:eastAsia="宋体" w:cs="宋体"/>
          <w:sz w:val="24"/>
          <w:szCs w:val="24"/>
        </w:rPr>
      </w:pPr>
      <w:r>
        <w:rPr>
          <w:rFonts w:hint="eastAsia" w:ascii="Times New Roman" w:hAnsi="Times New Roman" w:eastAsia="宋体" w:cs="宋体"/>
          <w:sz w:val="24"/>
          <w:szCs w:val="24"/>
        </w:rPr>
        <w:t>年      月     日</w:t>
      </w:r>
    </w:p>
    <w:p>
      <w:pPr>
        <w:keepNext w:val="0"/>
        <w:keepLines w:val="0"/>
        <w:pageBreakBefore w:val="0"/>
        <w:widowControl w:val="0"/>
        <w:kinsoku/>
        <w:wordWrap/>
        <w:topLinePunct w:val="0"/>
        <w:autoSpaceDE/>
        <w:autoSpaceDN/>
        <w:bidi w:val="0"/>
        <w:spacing w:line="360" w:lineRule="auto"/>
        <w:jc w:val="left"/>
        <w:rPr>
          <w:rFonts w:ascii="Times New Roman" w:hAnsi="Times New Roman" w:eastAsia="宋体"/>
          <w:b/>
          <w:sz w:val="24"/>
          <w:szCs w:val="24"/>
        </w:rPr>
      </w:pPr>
      <w:r>
        <w:rPr>
          <w:rFonts w:ascii="Times New Roman" w:hAnsi="Times New Roman" w:eastAsia="宋体"/>
          <w:b/>
          <w:sz w:val="24"/>
          <w:szCs w:val="24"/>
        </w:rPr>
        <w:br w:type="page"/>
      </w:r>
    </w:p>
    <w:p>
      <w:pPr>
        <w:keepNext w:val="0"/>
        <w:keepLines w:val="0"/>
        <w:pageBreakBefore w:val="0"/>
        <w:widowControl w:val="0"/>
        <w:kinsoku/>
        <w:wordWrap/>
        <w:topLinePunct w:val="0"/>
        <w:autoSpaceDE/>
        <w:autoSpaceDN/>
        <w:bidi w:val="0"/>
        <w:spacing w:line="360" w:lineRule="auto"/>
        <w:jc w:val="center"/>
        <w:rPr>
          <w:rFonts w:ascii="Times New Roman" w:hAnsi="Times New Roman" w:eastAsia="宋体" w:cs="Times New Roman"/>
          <w:b/>
          <w:sz w:val="24"/>
          <w:szCs w:val="24"/>
        </w:rPr>
      </w:pPr>
      <w:r>
        <w:rPr>
          <w:rFonts w:hint="eastAsia" w:ascii="Times New Roman" w:hAnsi="Times New Roman" w:eastAsia="宋体"/>
          <w:b/>
          <w:sz w:val="24"/>
          <w:szCs w:val="24"/>
        </w:rPr>
        <w:t>4、</w:t>
      </w:r>
      <w:r>
        <w:rPr>
          <w:rFonts w:hint="eastAsia" w:ascii="Times New Roman" w:hAnsi="Times New Roman" w:eastAsia="宋体" w:cs="Times New Roman"/>
          <w:b/>
          <w:sz w:val="24"/>
          <w:szCs w:val="24"/>
        </w:rPr>
        <w:t>诚信承诺书</w:t>
      </w:r>
    </w:p>
    <w:p>
      <w:pPr>
        <w:keepNext w:val="0"/>
        <w:keepLines w:val="0"/>
        <w:pageBreakBefore w:val="0"/>
        <w:widowControl w:val="0"/>
        <w:kinsoku/>
        <w:wordWrap/>
        <w:topLinePunct w:val="0"/>
        <w:autoSpaceDE/>
        <w:autoSpaceDN/>
        <w:bidi w:val="0"/>
        <w:spacing w:line="360" w:lineRule="auto"/>
        <w:rPr>
          <w:rFonts w:ascii="Times New Roman" w:hAnsi="Times New Roman" w:eastAsia="宋体" w:cs="Times New Roman"/>
          <w:sz w:val="28"/>
          <w:szCs w:val="28"/>
          <w:u w:val="single"/>
        </w:rPr>
      </w:pPr>
      <w:r>
        <w:rPr>
          <w:rFonts w:ascii="Times New Roman" w:hAnsi="Times New Roman" w:eastAsia="宋体" w:cs="仿宋_GB2312"/>
          <w:sz w:val="24"/>
          <w:szCs w:val="24"/>
          <w:u w:val="single"/>
        </w:rPr>
        <w:softHyphen/>
      </w:r>
      <w:r>
        <w:rPr>
          <w:rFonts w:hint="eastAsia" w:ascii="Times New Roman" w:hAnsi="Times New Roman" w:eastAsia="宋体" w:cs="仿宋_GB2312"/>
          <w:sz w:val="24"/>
          <w:szCs w:val="24"/>
          <w:u w:val="single"/>
        </w:rPr>
        <w:t>______</w:t>
      </w:r>
      <w:r>
        <w:rPr>
          <w:rFonts w:hint="eastAsia" w:ascii="Times New Roman" w:hAnsi="Times New Roman" w:eastAsia="宋体" w:cs="宋体"/>
          <w:sz w:val="24"/>
          <w:szCs w:val="24"/>
          <w:u w:val="single"/>
        </w:rPr>
        <w:t>：</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我单位在参加贵单位组织的</w:t>
      </w:r>
      <w:r>
        <w:rPr>
          <w:rFonts w:hint="eastAsia" w:ascii="Times New Roman" w:hAnsi="Times New Roman" w:eastAsia="宋体" w:cs="宋体"/>
          <w:sz w:val="24"/>
          <w:szCs w:val="24"/>
          <w:u w:val="single"/>
        </w:rPr>
        <w:t xml:space="preserve">     项目</w:t>
      </w:r>
      <w:r>
        <w:rPr>
          <w:rFonts w:hint="eastAsia" w:ascii="Times New Roman" w:hAnsi="Times New Roman" w:eastAsia="宋体" w:cs="宋体"/>
          <w:sz w:val="24"/>
          <w:szCs w:val="24"/>
        </w:rPr>
        <w:t>的招投标活动中，郑重承诺如下：</w:t>
      </w:r>
    </w:p>
    <w:p>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1、我方申报的所有资料都是真实、准确、完整的；</w:t>
      </w:r>
    </w:p>
    <w:p>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2、我方无资质挂靠或参与串标、围标、及抬标情形；</w:t>
      </w:r>
    </w:p>
    <w:p>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3、我方没有被各级行政主管部门做出停止市场行为的处罚；</w:t>
      </w:r>
    </w:p>
    <w:p>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4、若我方中标，将严格按照规定及时与招标单位签订合同；</w:t>
      </w:r>
    </w:p>
    <w:p>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5、若我方中标，将严格按照投标文件所承诺的报价、质量、供货期等内容组织实施；</w:t>
      </w:r>
    </w:p>
    <w:p>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若我方违反上述承诺，隐瞒、提供虚假资料或不按投标文件要求组织实施，被贵方发现或被他人举报查实，无条件接受有关行政监督部门做出的取消投标资格、中标资格、没收投标保证金、不良行为记录、限制其一定期限内投标资格等处罚。对造成的损失，任何法律和经济责任完全由我方负责。</w:t>
      </w:r>
    </w:p>
    <w:p>
      <w:pPr>
        <w:keepNext w:val="0"/>
        <w:keepLines w:val="0"/>
        <w:pageBreakBefore w:val="0"/>
        <w:widowControl w:val="0"/>
        <w:kinsoku/>
        <w:wordWrap/>
        <w:topLinePunct w:val="0"/>
        <w:autoSpaceDE/>
        <w:autoSpaceDN/>
        <w:bidi w:val="0"/>
        <w:spacing w:line="360" w:lineRule="auto"/>
        <w:ind w:firstLine="560" w:firstLineChars="200"/>
        <w:rPr>
          <w:rFonts w:ascii="Times New Roman" w:hAnsi="Times New Roman" w:eastAsia="宋体" w:cs="宋体"/>
          <w:bCs/>
          <w:sz w:val="28"/>
          <w:szCs w:val="28"/>
        </w:rPr>
      </w:pPr>
    </w:p>
    <w:p>
      <w:pPr>
        <w:keepNext w:val="0"/>
        <w:keepLines w:val="0"/>
        <w:pageBreakBefore w:val="0"/>
        <w:widowControl w:val="0"/>
        <w:kinsoku/>
        <w:wordWrap/>
        <w:topLinePunct w:val="0"/>
        <w:autoSpaceDE/>
        <w:autoSpaceDN/>
        <w:bidi w:val="0"/>
        <w:spacing w:line="360" w:lineRule="auto"/>
        <w:ind w:firstLine="480" w:firstLineChars="200"/>
        <w:jc w:val="right"/>
        <w:rPr>
          <w:rFonts w:ascii="Times New Roman" w:hAnsi="Times New Roman" w:eastAsia="宋体" w:cs="宋体"/>
          <w:sz w:val="24"/>
          <w:szCs w:val="24"/>
        </w:rPr>
      </w:pPr>
      <w:r>
        <w:rPr>
          <w:rFonts w:hint="eastAsia" w:ascii="Times New Roman" w:hAnsi="Times New Roman" w:eastAsia="宋体" w:cs="宋体"/>
          <w:sz w:val="24"/>
          <w:szCs w:val="24"/>
        </w:rPr>
        <w:t>投标供应商：（加盖公章）</w:t>
      </w:r>
    </w:p>
    <w:p>
      <w:pPr>
        <w:keepNext w:val="0"/>
        <w:keepLines w:val="0"/>
        <w:pageBreakBefore w:val="0"/>
        <w:widowControl w:val="0"/>
        <w:kinsoku/>
        <w:wordWrap/>
        <w:topLinePunct w:val="0"/>
        <w:autoSpaceDE/>
        <w:autoSpaceDN/>
        <w:bidi w:val="0"/>
        <w:spacing w:line="360" w:lineRule="auto"/>
        <w:ind w:firstLine="480" w:firstLineChars="200"/>
        <w:jc w:val="right"/>
        <w:rPr>
          <w:rFonts w:ascii="Times New Roman" w:hAnsi="Times New Roman" w:eastAsia="宋体" w:cs="宋体"/>
          <w:sz w:val="24"/>
          <w:szCs w:val="24"/>
        </w:rPr>
      </w:pPr>
      <w:r>
        <w:rPr>
          <w:rFonts w:hint="eastAsia" w:ascii="Times New Roman" w:hAnsi="Times New Roman" w:eastAsia="宋体" w:cs="宋体"/>
          <w:sz w:val="24"/>
          <w:szCs w:val="24"/>
        </w:rPr>
        <w:t>法定代表人或被授权人：（签字或盖章）</w:t>
      </w:r>
    </w:p>
    <w:p>
      <w:pPr>
        <w:keepNext w:val="0"/>
        <w:keepLines w:val="0"/>
        <w:pageBreakBefore w:val="0"/>
        <w:widowControl w:val="0"/>
        <w:kinsoku/>
        <w:wordWrap/>
        <w:topLinePunct w:val="0"/>
        <w:autoSpaceDE/>
        <w:autoSpaceDN/>
        <w:bidi w:val="0"/>
        <w:spacing w:line="360" w:lineRule="auto"/>
        <w:ind w:firstLine="1320" w:firstLineChars="550"/>
        <w:jc w:val="right"/>
        <w:rPr>
          <w:rFonts w:ascii="Times New Roman" w:hAnsi="Times New Roman" w:eastAsia="宋体" w:cs="宋体"/>
          <w:sz w:val="24"/>
          <w:szCs w:val="24"/>
        </w:rPr>
      </w:pPr>
      <w:r>
        <w:rPr>
          <w:rFonts w:hint="eastAsia" w:ascii="Times New Roman" w:hAnsi="Times New Roman" w:eastAsia="宋体" w:cs="宋体"/>
          <w:sz w:val="24"/>
          <w:szCs w:val="24"/>
        </w:rPr>
        <w:t>年      月     日</w:t>
      </w:r>
    </w:p>
    <w:p>
      <w:pPr>
        <w:keepNext w:val="0"/>
        <w:keepLines w:val="0"/>
        <w:pageBreakBefore w:val="0"/>
        <w:widowControl w:val="0"/>
        <w:kinsoku/>
        <w:wordWrap/>
        <w:topLinePunct w:val="0"/>
        <w:autoSpaceDE/>
        <w:autoSpaceDN/>
        <w:bidi w:val="0"/>
        <w:spacing w:line="360" w:lineRule="auto"/>
        <w:jc w:val="left"/>
        <w:rPr>
          <w:rFonts w:hint="eastAsia"/>
        </w:rPr>
      </w:pPr>
      <w:r>
        <w:rPr>
          <w:rFonts w:ascii="Times New Roman" w:hAnsi="Times New Roman" w:eastAsia="宋体"/>
          <w:b/>
          <w:sz w:val="24"/>
          <w:szCs w:val="24"/>
        </w:rPr>
        <w:br w:type="page"/>
      </w:r>
    </w:p>
    <w:p>
      <w:pPr>
        <w:keepNext w:val="0"/>
        <w:keepLines w:val="0"/>
        <w:pageBreakBefore w:val="0"/>
        <w:widowControl w:val="0"/>
        <w:kinsoku/>
        <w:wordWrap/>
        <w:topLinePunct w:val="0"/>
        <w:autoSpaceDE/>
        <w:autoSpaceDN/>
        <w:bidi w:val="0"/>
        <w:spacing w:line="360" w:lineRule="auto"/>
        <w:jc w:val="center"/>
        <w:rPr>
          <w:rFonts w:ascii="Times New Roman" w:hAnsi="Times New Roman" w:eastAsia="宋体"/>
          <w:b/>
          <w:sz w:val="24"/>
          <w:szCs w:val="24"/>
        </w:rPr>
      </w:pPr>
      <w:r>
        <w:rPr>
          <w:rFonts w:hint="eastAsia" w:ascii="Times New Roman" w:hAnsi="Times New Roman" w:eastAsia="宋体"/>
          <w:b/>
          <w:sz w:val="24"/>
          <w:szCs w:val="24"/>
          <w:lang w:val="en-US" w:eastAsia="zh-CN"/>
        </w:rPr>
        <w:t>5</w:t>
      </w:r>
      <w:r>
        <w:rPr>
          <w:rFonts w:hint="eastAsia" w:ascii="Times New Roman" w:hAnsi="Times New Roman" w:eastAsia="宋体"/>
          <w:b/>
          <w:sz w:val="24"/>
          <w:szCs w:val="24"/>
        </w:rPr>
        <w:t>、技术条款响应正负偏离表</w:t>
      </w:r>
    </w:p>
    <w:p>
      <w:pPr>
        <w:keepNext w:val="0"/>
        <w:keepLines w:val="0"/>
        <w:pageBreakBefore w:val="0"/>
        <w:widowControl w:val="0"/>
        <w:kinsoku/>
        <w:wordWrap/>
        <w:topLinePunct w:val="0"/>
        <w:autoSpaceDE/>
        <w:autoSpaceDN/>
        <w:bidi w:val="0"/>
        <w:spacing w:line="360" w:lineRule="auto"/>
        <w:ind w:firstLine="480"/>
        <w:jc w:val="center"/>
        <w:textAlignment w:val="baseline"/>
        <w:rPr>
          <w:rFonts w:ascii="Times New Roman" w:hAnsi="Times New Roman" w:eastAsia="宋体" w:cs="宋体"/>
          <w:sz w:val="24"/>
          <w:szCs w:val="24"/>
        </w:rPr>
      </w:pPr>
      <w:r>
        <w:rPr>
          <w:rFonts w:hint="eastAsia" w:ascii="Times New Roman" w:hAnsi="Times New Roman" w:eastAsia="宋体" w:cs="仿宋"/>
          <w:sz w:val="28"/>
          <w:szCs w:val="28"/>
        </w:rPr>
        <w:t>（</w:t>
      </w:r>
      <w:r>
        <w:rPr>
          <w:rFonts w:hint="eastAsia" w:ascii="Times New Roman" w:hAnsi="Times New Roman" w:eastAsia="宋体" w:cs="宋体"/>
          <w:sz w:val="24"/>
          <w:szCs w:val="24"/>
        </w:rPr>
        <w:t>由响应人据实提交，表格不够自行添加）</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59"/>
        <w:gridCol w:w="1357"/>
        <w:gridCol w:w="2302"/>
        <w:gridCol w:w="2720"/>
        <w:gridCol w:w="14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jc w:val="center"/>
        </w:trPr>
        <w:tc>
          <w:tcPr>
            <w:tcW w:w="959" w:type="dxa"/>
            <w:tcBorders>
              <w:top w:val="single" w:color="auto" w:sz="12" w:space="0"/>
              <w:left w:val="single" w:color="auto" w:sz="12" w:space="0"/>
              <w:bottom w:val="single" w:color="auto" w:sz="6" w:space="0"/>
              <w:right w:val="single" w:color="auto" w:sz="6" w:space="0"/>
            </w:tcBorders>
            <w:vAlign w:val="center"/>
          </w:tcPr>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序号</w:t>
            </w:r>
          </w:p>
        </w:tc>
        <w:tc>
          <w:tcPr>
            <w:tcW w:w="1357" w:type="dxa"/>
            <w:tcBorders>
              <w:top w:val="single" w:color="auto" w:sz="12" w:space="0"/>
              <w:left w:val="single" w:color="auto" w:sz="6" w:space="0"/>
              <w:bottom w:val="single" w:color="auto" w:sz="6" w:space="0"/>
              <w:right w:val="single" w:color="auto" w:sz="6" w:space="0"/>
            </w:tcBorders>
            <w:vAlign w:val="center"/>
          </w:tcPr>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采购文件条目号</w:t>
            </w:r>
          </w:p>
        </w:tc>
        <w:tc>
          <w:tcPr>
            <w:tcW w:w="2302" w:type="dxa"/>
            <w:tcBorders>
              <w:top w:val="single" w:color="auto" w:sz="12" w:space="0"/>
              <w:left w:val="single" w:color="auto" w:sz="6" w:space="0"/>
              <w:bottom w:val="single" w:color="auto" w:sz="6" w:space="0"/>
              <w:right w:val="single" w:color="auto" w:sz="6" w:space="0"/>
            </w:tcBorders>
            <w:vAlign w:val="center"/>
          </w:tcPr>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磋商文件要求</w:t>
            </w:r>
          </w:p>
        </w:tc>
        <w:tc>
          <w:tcPr>
            <w:tcW w:w="2720" w:type="dxa"/>
            <w:tcBorders>
              <w:top w:val="single" w:color="auto" w:sz="12" w:space="0"/>
              <w:left w:val="single" w:color="auto" w:sz="6" w:space="0"/>
              <w:bottom w:val="single" w:color="auto" w:sz="6" w:space="0"/>
              <w:right w:val="single" w:color="auto" w:sz="6" w:space="0"/>
            </w:tcBorders>
            <w:vAlign w:val="center"/>
          </w:tcPr>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响应文件响应情况</w:t>
            </w:r>
          </w:p>
        </w:tc>
        <w:tc>
          <w:tcPr>
            <w:tcW w:w="1417" w:type="dxa"/>
            <w:tcBorders>
              <w:top w:val="single" w:color="auto" w:sz="12" w:space="0"/>
              <w:left w:val="single" w:color="auto" w:sz="6" w:space="0"/>
              <w:bottom w:val="single" w:color="auto" w:sz="6" w:space="0"/>
              <w:right w:val="single" w:color="auto" w:sz="12" w:space="0"/>
            </w:tcBorders>
            <w:vAlign w:val="center"/>
          </w:tcPr>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偏离说明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959" w:type="dxa"/>
            <w:tcBorders>
              <w:top w:val="single" w:color="auto" w:sz="6" w:space="0"/>
              <w:left w:val="single" w:color="auto" w:sz="12" w:space="0"/>
              <w:bottom w:val="single" w:color="auto" w:sz="6" w:space="0"/>
              <w:right w:val="single" w:color="auto" w:sz="6" w:space="0"/>
            </w:tcBorders>
          </w:tcPr>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1</w:t>
            </w:r>
          </w:p>
        </w:tc>
        <w:tc>
          <w:tcPr>
            <w:tcW w:w="135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p>
        </w:tc>
        <w:tc>
          <w:tcPr>
            <w:tcW w:w="230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p>
        </w:tc>
        <w:tc>
          <w:tcPr>
            <w:tcW w:w="27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p>
        </w:tc>
        <w:tc>
          <w:tcPr>
            <w:tcW w:w="1417" w:type="dxa"/>
            <w:tcBorders>
              <w:top w:val="single" w:color="auto" w:sz="6" w:space="0"/>
              <w:left w:val="single" w:color="auto" w:sz="6" w:space="0"/>
              <w:bottom w:val="single" w:color="auto" w:sz="6" w:space="0"/>
              <w:right w:val="single" w:color="auto" w:sz="12" w:space="0"/>
            </w:tcBorders>
          </w:tcPr>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959" w:type="dxa"/>
            <w:tcBorders>
              <w:top w:val="single" w:color="auto" w:sz="6" w:space="0"/>
              <w:left w:val="single" w:color="auto" w:sz="12" w:space="0"/>
              <w:bottom w:val="single" w:color="auto" w:sz="6" w:space="0"/>
              <w:right w:val="single" w:color="auto" w:sz="6" w:space="0"/>
            </w:tcBorders>
          </w:tcPr>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2</w:t>
            </w:r>
          </w:p>
        </w:tc>
        <w:tc>
          <w:tcPr>
            <w:tcW w:w="135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p>
        </w:tc>
        <w:tc>
          <w:tcPr>
            <w:tcW w:w="230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p>
        </w:tc>
        <w:tc>
          <w:tcPr>
            <w:tcW w:w="27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p>
        </w:tc>
        <w:tc>
          <w:tcPr>
            <w:tcW w:w="1417" w:type="dxa"/>
            <w:tcBorders>
              <w:top w:val="single" w:color="auto" w:sz="6" w:space="0"/>
              <w:left w:val="single" w:color="auto" w:sz="6" w:space="0"/>
              <w:bottom w:val="single" w:color="auto" w:sz="6" w:space="0"/>
              <w:right w:val="single" w:color="auto" w:sz="12" w:space="0"/>
            </w:tcBorders>
          </w:tcPr>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959" w:type="dxa"/>
            <w:tcBorders>
              <w:top w:val="single" w:color="auto" w:sz="6" w:space="0"/>
              <w:left w:val="single" w:color="auto" w:sz="12" w:space="0"/>
              <w:bottom w:val="single" w:color="auto" w:sz="6" w:space="0"/>
              <w:right w:val="single" w:color="auto" w:sz="6" w:space="0"/>
            </w:tcBorders>
          </w:tcPr>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3</w:t>
            </w:r>
          </w:p>
        </w:tc>
        <w:tc>
          <w:tcPr>
            <w:tcW w:w="135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p>
        </w:tc>
        <w:tc>
          <w:tcPr>
            <w:tcW w:w="230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p>
        </w:tc>
        <w:tc>
          <w:tcPr>
            <w:tcW w:w="27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p>
        </w:tc>
        <w:tc>
          <w:tcPr>
            <w:tcW w:w="1417" w:type="dxa"/>
            <w:tcBorders>
              <w:top w:val="single" w:color="auto" w:sz="6" w:space="0"/>
              <w:left w:val="single" w:color="auto" w:sz="6" w:space="0"/>
              <w:bottom w:val="single" w:color="auto" w:sz="6" w:space="0"/>
              <w:right w:val="single" w:color="auto" w:sz="12" w:space="0"/>
            </w:tcBorders>
          </w:tcPr>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jc w:val="center"/>
        </w:trPr>
        <w:tc>
          <w:tcPr>
            <w:tcW w:w="959" w:type="dxa"/>
            <w:tcBorders>
              <w:top w:val="single" w:color="auto" w:sz="6" w:space="0"/>
              <w:left w:val="single" w:color="auto" w:sz="12" w:space="0"/>
              <w:bottom w:val="single" w:color="auto" w:sz="6" w:space="0"/>
              <w:right w:val="single" w:color="auto" w:sz="6" w:space="0"/>
            </w:tcBorders>
          </w:tcPr>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p>
        </w:tc>
        <w:tc>
          <w:tcPr>
            <w:tcW w:w="135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p>
        </w:tc>
        <w:tc>
          <w:tcPr>
            <w:tcW w:w="230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p>
        </w:tc>
        <w:tc>
          <w:tcPr>
            <w:tcW w:w="27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p>
        </w:tc>
        <w:tc>
          <w:tcPr>
            <w:tcW w:w="1417" w:type="dxa"/>
            <w:tcBorders>
              <w:top w:val="single" w:color="auto" w:sz="6" w:space="0"/>
              <w:left w:val="single" w:color="auto" w:sz="6" w:space="0"/>
              <w:bottom w:val="single" w:color="auto" w:sz="6" w:space="0"/>
              <w:right w:val="single" w:color="auto" w:sz="12" w:space="0"/>
            </w:tcBorders>
          </w:tcPr>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p>
        </w:tc>
      </w:tr>
    </w:tbl>
    <w:p>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sz w:val="24"/>
          <w:szCs w:val="24"/>
        </w:rPr>
      </w:pPr>
      <w:r>
        <w:rPr>
          <w:rFonts w:ascii="Times New Roman" w:hAnsi="Times New Roman" w:eastAsia="宋体" w:cs="宋体"/>
          <w:sz w:val="24"/>
          <w:szCs w:val="24"/>
        </w:rPr>
        <w:t>注：</w:t>
      </w:r>
    </w:p>
    <w:p>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sz w:val="24"/>
          <w:szCs w:val="24"/>
        </w:rPr>
      </w:pPr>
      <w:r>
        <w:rPr>
          <w:rFonts w:ascii="Times New Roman" w:hAnsi="Times New Roman" w:eastAsia="宋体" w:cs="宋体"/>
          <w:sz w:val="24"/>
          <w:szCs w:val="24"/>
        </w:rPr>
        <w:t>1、响应人提交的响应文件中与磋商文件第三部分</w:t>
      </w:r>
      <w:r>
        <w:rPr>
          <w:rFonts w:hint="eastAsia" w:ascii="Times New Roman" w:hAnsi="Times New Roman" w:eastAsia="宋体" w:cs="宋体"/>
          <w:sz w:val="24"/>
          <w:szCs w:val="24"/>
          <w:lang w:eastAsia="zh-CN"/>
        </w:rPr>
        <w:t>“</w:t>
      </w:r>
      <w:r>
        <w:rPr>
          <w:rFonts w:ascii="Times New Roman" w:hAnsi="Times New Roman" w:eastAsia="宋体" w:cs="宋体"/>
          <w:sz w:val="24"/>
          <w:szCs w:val="24"/>
        </w:rPr>
        <w:t>项目需求说明</w:t>
      </w:r>
      <w:r>
        <w:rPr>
          <w:rFonts w:hint="eastAsia" w:ascii="Times New Roman" w:hAnsi="Times New Roman" w:eastAsia="宋体" w:cs="宋体"/>
          <w:sz w:val="24"/>
          <w:szCs w:val="24"/>
          <w:lang w:eastAsia="zh-CN"/>
        </w:rPr>
        <w:t>”</w:t>
      </w:r>
      <w:r>
        <w:rPr>
          <w:rFonts w:ascii="Times New Roman" w:hAnsi="Times New Roman" w:eastAsia="宋体" w:cs="宋体"/>
          <w:sz w:val="24"/>
          <w:szCs w:val="24"/>
        </w:rPr>
        <w:t>中的技术部分的要求有不同时，应逐条填列在偏离表中，否则将认为响应人接受磋商文件的所有要求。完全响应部分不填。</w:t>
      </w:r>
    </w:p>
    <w:p>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sz w:val="24"/>
          <w:szCs w:val="24"/>
        </w:rPr>
      </w:pPr>
      <w:r>
        <w:rPr>
          <w:rFonts w:ascii="Times New Roman" w:hAnsi="Times New Roman" w:eastAsia="宋体" w:cs="宋体"/>
          <w:sz w:val="24"/>
          <w:szCs w:val="24"/>
        </w:rPr>
        <w:t>2、</w:t>
      </w:r>
      <w:r>
        <w:rPr>
          <w:rFonts w:hint="eastAsia" w:ascii="Times New Roman" w:hAnsi="Times New Roman" w:eastAsia="宋体" w:cs="宋体"/>
          <w:sz w:val="24"/>
          <w:szCs w:val="24"/>
          <w:lang w:eastAsia="zh-CN"/>
        </w:rPr>
        <w:t>“</w:t>
      </w:r>
      <w:r>
        <w:rPr>
          <w:rFonts w:ascii="Times New Roman" w:hAnsi="Times New Roman" w:eastAsia="宋体" w:cs="宋体"/>
          <w:sz w:val="24"/>
          <w:szCs w:val="24"/>
        </w:rPr>
        <w:t>偏离说明</w:t>
      </w:r>
      <w:r>
        <w:rPr>
          <w:rFonts w:hint="eastAsia" w:ascii="Times New Roman" w:hAnsi="Times New Roman" w:eastAsia="宋体" w:cs="宋体"/>
          <w:sz w:val="24"/>
          <w:szCs w:val="24"/>
          <w:lang w:eastAsia="zh-CN"/>
        </w:rPr>
        <w:t>”</w:t>
      </w:r>
      <w:r>
        <w:rPr>
          <w:rFonts w:ascii="Times New Roman" w:hAnsi="Times New Roman" w:eastAsia="宋体" w:cs="宋体"/>
          <w:sz w:val="24"/>
          <w:szCs w:val="24"/>
        </w:rPr>
        <w:t>一栏选择</w:t>
      </w:r>
      <w:r>
        <w:rPr>
          <w:rFonts w:hint="eastAsia" w:ascii="Times New Roman" w:hAnsi="Times New Roman" w:eastAsia="宋体" w:cs="宋体"/>
          <w:sz w:val="24"/>
          <w:szCs w:val="24"/>
          <w:lang w:eastAsia="zh-CN"/>
        </w:rPr>
        <w:t>“</w:t>
      </w:r>
      <w:r>
        <w:rPr>
          <w:rFonts w:ascii="Times New Roman" w:hAnsi="Times New Roman" w:eastAsia="宋体" w:cs="宋体"/>
          <w:sz w:val="24"/>
          <w:szCs w:val="24"/>
        </w:rPr>
        <w:t>正偏离</w:t>
      </w:r>
      <w:r>
        <w:rPr>
          <w:rFonts w:hint="eastAsia" w:ascii="Times New Roman" w:hAnsi="Times New Roman" w:eastAsia="宋体" w:cs="宋体"/>
          <w:sz w:val="24"/>
          <w:szCs w:val="24"/>
          <w:lang w:eastAsia="zh-CN"/>
        </w:rPr>
        <w:t>”</w:t>
      </w:r>
      <w:r>
        <w:rPr>
          <w:rFonts w:ascii="Times New Roman" w:hAnsi="Times New Roman" w:eastAsia="宋体" w:cs="宋体"/>
          <w:sz w:val="24"/>
          <w:szCs w:val="24"/>
        </w:rPr>
        <w:t>、</w:t>
      </w:r>
      <w:r>
        <w:rPr>
          <w:rFonts w:hint="eastAsia" w:ascii="Times New Roman" w:hAnsi="Times New Roman" w:eastAsia="宋体" w:cs="宋体"/>
          <w:sz w:val="24"/>
          <w:szCs w:val="24"/>
          <w:lang w:eastAsia="zh-CN"/>
        </w:rPr>
        <w:t>“</w:t>
      </w:r>
      <w:r>
        <w:rPr>
          <w:rFonts w:ascii="Times New Roman" w:hAnsi="Times New Roman" w:eastAsia="宋体" w:cs="宋体"/>
          <w:sz w:val="24"/>
          <w:szCs w:val="24"/>
        </w:rPr>
        <w:t>负偏离</w:t>
      </w:r>
      <w:r>
        <w:rPr>
          <w:rFonts w:hint="eastAsia" w:ascii="Times New Roman" w:hAnsi="Times New Roman" w:eastAsia="宋体" w:cs="宋体"/>
          <w:sz w:val="24"/>
          <w:szCs w:val="24"/>
          <w:lang w:eastAsia="zh-CN"/>
        </w:rPr>
        <w:t>”</w:t>
      </w:r>
      <w:r>
        <w:rPr>
          <w:rFonts w:ascii="Times New Roman" w:hAnsi="Times New Roman" w:eastAsia="宋体" w:cs="宋体"/>
          <w:sz w:val="24"/>
          <w:szCs w:val="24"/>
        </w:rPr>
        <w:t>进行填写。正偏离的确认和负偏离的是否相应磋商文件，经三分之二评委认定。</w:t>
      </w:r>
    </w:p>
    <w:p>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3、响应人如果虚假响应，将承担一切可能的风险。</w:t>
      </w:r>
    </w:p>
    <w:p>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4、供应商若提供其他增值服务，可以在表中自行据实填写。</w:t>
      </w:r>
    </w:p>
    <w:p>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sz w:val="24"/>
          <w:szCs w:val="24"/>
        </w:rPr>
      </w:pPr>
    </w:p>
    <w:p>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sz w:val="24"/>
          <w:szCs w:val="24"/>
        </w:rPr>
      </w:pPr>
    </w:p>
    <w:p>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供应商名称（盖章）：</w:t>
      </w:r>
    </w:p>
    <w:p>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法人或授权委托人（签字或盖章）：</w:t>
      </w:r>
    </w:p>
    <w:p>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sz w:val="24"/>
          <w:szCs w:val="24"/>
        </w:rPr>
      </w:pPr>
      <w:r>
        <w:rPr>
          <w:rFonts w:ascii="Times New Roman" w:hAnsi="Times New Roman" w:eastAsia="宋体" w:cs="宋体"/>
          <w:sz w:val="24"/>
          <w:szCs w:val="24"/>
        </w:rPr>
        <w:t>日期：</w:t>
      </w:r>
    </w:p>
    <w:p>
      <w:pPr>
        <w:keepNext w:val="0"/>
        <w:keepLines w:val="0"/>
        <w:pageBreakBefore w:val="0"/>
        <w:widowControl w:val="0"/>
        <w:kinsoku/>
        <w:wordWrap/>
        <w:topLinePunct w:val="0"/>
        <w:autoSpaceDE/>
        <w:autoSpaceDN/>
        <w:bidi w:val="0"/>
        <w:spacing w:line="360" w:lineRule="auto"/>
        <w:rPr>
          <w:rFonts w:ascii="Times New Roman" w:hAnsi="Times New Roman" w:eastAsia="宋体" w:cs="仿宋"/>
          <w:sz w:val="28"/>
          <w:szCs w:val="28"/>
        </w:rPr>
      </w:pPr>
    </w:p>
    <w:p>
      <w:pPr>
        <w:keepNext w:val="0"/>
        <w:keepLines w:val="0"/>
        <w:pageBreakBefore w:val="0"/>
        <w:widowControl w:val="0"/>
        <w:kinsoku/>
        <w:wordWrap/>
        <w:topLinePunct w:val="0"/>
        <w:autoSpaceDE/>
        <w:autoSpaceDN/>
        <w:bidi w:val="0"/>
        <w:spacing w:line="360" w:lineRule="auto"/>
        <w:jc w:val="center"/>
        <w:rPr>
          <w:rFonts w:ascii="Times New Roman" w:hAnsi="Times New Roman" w:eastAsia="宋体" w:cs="宋体"/>
          <w:b/>
          <w:bCs/>
          <w:sz w:val="24"/>
          <w:szCs w:val="24"/>
        </w:rPr>
      </w:pPr>
    </w:p>
    <w:p>
      <w:pPr>
        <w:keepNext w:val="0"/>
        <w:keepLines w:val="0"/>
        <w:pageBreakBefore w:val="0"/>
        <w:widowControl w:val="0"/>
        <w:kinsoku/>
        <w:wordWrap/>
        <w:topLinePunct w:val="0"/>
        <w:autoSpaceDE/>
        <w:autoSpaceDN/>
        <w:bidi w:val="0"/>
        <w:spacing w:line="360" w:lineRule="auto"/>
        <w:jc w:val="center"/>
        <w:rPr>
          <w:rFonts w:ascii="Times New Roman" w:hAnsi="Times New Roman" w:eastAsia="宋体"/>
          <w:b/>
          <w:sz w:val="24"/>
          <w:szCs w:val="24"/>
        </w:rPr>
      </w:pPr>
      <w:r>
        <w:rPr>
          <w:rFonts w:ascii="Times New Roman" w:hAnsi="Times New Roman" w:eastAsia="宋体" w:cs="宋体"/>
          <w:b/>
          <w:bCs/>
          <w:sz w:val="24"/>
          <w:szCs w:val="24"/>
        </w:rPr>
        <w:br w:type="page"/>
      </w:r>
      <w:r>
        <w:rPr>
          <w:rFonts w:hint="eastAsia" w:ascii="Times New Roman" w:hAnsi="Times New Roman" w:eastAsia="宋体"/>
          <w:b/>
          <w:sz w:val="24"/>
          <w:szCs w:val="24"/>
          <w:lang w:val="en-US" w:eastAsia="zh-CN"/>
        </w:rPr>
        <w:t>6</w:t>
      </w:r>
      <w:r>
        <w:rPr>
          <w:rFonts w:hint="eastAsia" w:ascii="Times New Roman" w:hAnsi="Times New Roman" w:eastAsia="宋体"/>
          <w:b/>
          <w:sz w:val="24"/>
          <w:szCs w:val="24"/>
        </w:rPr>
        <w:t>、</w:t>
      </w:r>
      <w:r>
        <w:rPr>
          <w:rFonts w:hint="eastAsia" w:ascii="Times New Roman" w:hAnsi="Times New Roman" w:eastAsia="宋体"/>
          <w:b/>
          <w:sz w:val="24"/>
          <w:szCs w:val="24"/>
          <w:lang w:eastAsia="zh-CN"/>
        </w:rPr>
        <w:t>商务</w:t>
      </w:r>
      <w:r>
        <w:rPr>
          <w:rFonts w:hint="eastAsia" w:ascii="Times New Roman" w:hAnsi="Times New Roman" w:eastAsia="宋体"/>
          <w:b/>
          <w:sz w:val="24"/>
          <w:szCs w:val="24"/>
        </w:rPr>
        <w:t>条款响应正负偏离表</w:t>
      </w:r>
    </w:p>
    <w:p>
      <w:pPr>
        <w:keepNext w:val="0"/>
        <w:keepLines w:val="0"/>
        <w:pageBreakBefore w:val="0"/>
        <w:widowControl w:val="0"/>
        <w:kinsoku/>
        <w:wordWrap/>
        <w:topLinePunct w:val="0"/>
        <w:autoSpaceDE/>
        <w:autoSpaceDN/>
        <w:bidi w:val="0"/>
        <w:spacing w:line="360" w:lineRule="auto"/>
        <w:ind w:firstLine="480"/>
        <w:jc w:val="center"/>
        <w:textAlignment w:val="baseline"/>
        <w:rPr>
          <w:rFonts w:ascii="Times New Roman" w:hAnsi="Times New Roman" w:eastAsia="宋体" w:cs="宋体"/>
          <w:sz w:val="24"/>
          <w:szCs w:val="24"/>
        </w:rPr>
      </w:pPr>
      <w:r>
        <w:rPr>
          <w:rFonts w:hint="eastAsia" w:ascii="Times New Roman" w:hAnsi="Times New Roman" w:eastAsia="宋体" w:cs="仿宋"/>
          <w:sz w:val="28"/>
          <w:szCs w:val="28"/>
        </w:rPr>
        <w:t>（</w:t>
      </w:r>
      <w:r>
        <w:rPr>
          <w:rFonts w:hint="eastAsia" w:ascii="Times New Roman" w:hAnsi="Times New Roman" w:eastAsia="宋体" w:cs="宋体"/>
          <w:sz w:val="24"/>
          <w:szCs w:val="24"/>
        </w:rPr>
        <w:t>由响应人据实提交，表格不够自行添加）</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59"/>
        <w:gridCol w:w="1529"/>
        <w:gridCol w:w="2130"/>
        <w:gridCol w:w="2720"/>
        <w:gridCol w:w="14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jc w:val="center"/>
        </w:trPr>
        <w:tc>
          <w:tcPr>
            <w:tcW w:w="959" w:type="dxa"/>
            <w:tcBorders>
              <w:top w:val="single" w:color="auto" w:sz="12" w:space="0"/>
              <w:left w:val="single" w:color="auto" w:sz="12" w:space="0"/>
              <w:bottom w:val="single" w:color="auto" w:sz="6" w:space="0"/>
              <w:right w:val="single" w:color="auto" w:sz="6" w:space="0"/>
            </w:tcBorders>
            <w:vAlign w:val="center"/>
          </w:tcPr>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序号</w:t>
            </w:r>
          </w:p>
        </w:tc>
        <w:tc>
          <w:tcPr>
            <w:tcW w:w="1529" w:type="dxa"/>
            <w:tcBorders>
              <w:top w:val="single" w:color="auto" w:sz="12" w:space="0"/>
              <w:left w:val="single" w:color="auto" w:sz="6" w:space="0"/>
              <w:bottom w:val="single" w:color="auto" w:sz="6" w:space="0"/>
              <w:right w:val="single" w:color="auto" w:sz="6" w:space="0"/>
            </w:tcBorders>
            <w:vAlign w:val="center"/>
          </w:tcPr>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采购文件条目号</w:t>
            </w:r>
          </w:p>
        </w:tc>
        <w:tc>
          <w:tcPr>
            <w:tcW w:w="2130" w:type="dxa"/>
            <w:tcBorders>
              <w:top w:val="single" w:color="auto" w:sz="12" w:space="0"/>
              <w:left w:val="single" w:color="auto" w:sz="6" w:space="0"/>
              <w:bottom w:val="single" w:color="auto" w:sz="6" w:space="0"/>
              <w:right w:val="single" w:color="auto" w:sz="6" w:space="0"/>
            </w:tcBorders>
            <w:vAlign w:val="center"/>
          </w:tcPr>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磋商文件要求</w:t>
            </w:r>
          </w:p>
        </w:tc>
        <w:tc>
          <w:tcPr>
            <w:tcW w:w="2720" w:type="dxa"/>
            <w:tcBorders>
              <w:top w:val="single" w:color="auto" w:sz="12" w:space="0"/>
              <w:left w:val="single" w:color="auto" w:sz="6" w:space="0"/>
              <w:bottom w:val="single" w:color="auto" w:sz="6" w:space="0"/>
              <w:right w:val="single" w:color="auto" w:sz="6" w:space="0"/>
            </w:tcBorders>
            <w:vAlign w:val="center"/>
          </w:tcPr>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响应文件响应情况</w:t>
            </w:r>
          </w:p>
        </w:tc>
        <w:tc>
          <w:tcPr>
            <w:tcW w:w="1417" w:type="dxa"/>
            <w:tcBorders>
              <w:top w:val="single" w:color="auto" w:sz="12" w:space="0"/>
              <w:left w:val="single" w:color="auto" w:sz="6" w:space="0"/>
              <w:bottom w:val="single" w:color="auto" w:sz="6" w:space="0"/>
              <w:right w:val="single" w:color="auto" w:sz="12" w:space="0"/>
            </w:tcBorders>
            <w:vAlign w:val="center"/>
          </w:tcPr>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偏离说明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959" w:type="dxa"/>
            <w:tcBorders>
              <w:top w:val="single" w:color="auto" w:sz="6" w:space="0"/>
              <w:left w:val="single" w:color="auto" w:sz="12" w:space="0"/>
              <w:bottom w:val="single" w:color="auto" w:sz="6" w:space="0"/>
              <w:right w:val="single" w:color="auto" w:sz="6" w:space="0"/>
            </w:tcBorders>
          </w:tcPr>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1</w:t>
            </w:r>
          </w:p>
        </w:tc>
        <w:tc>
          <w:tcPr>
            <w:tcW w:w="152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p>
        </w:tc>
        <w:tc>
          <w:tcPr>
            <w:tcW w:w="213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p>
        </w:tc>
        <w:tc>
          <w:tcPr>
            <w:tcW w:w="27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p>
        </w:tc>
        <w:tc>
          <w:tcPr>
            <w:tcW w:w="1417" w:type="dxa"/>
            <w:tcBorders>
              <w:top w:val="single" w:color="auto" w:sz="6" w:space="0"/>
              <w:left w:val="single" w:color="auto" w:sz="6" w:space="0"/>
              <w:bottom w:val="single" w:color="auto" w:sz="6" w:space="0"/>
              <w:right w:val="single" w:color="auto" w:sz="12" w:space="0"/>
            </w:tcBorders>
          </w:tcPr>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959" w:type="dxa"/>
            <w:tcBorders>
              <w:top w:val="single" w:color="auto" w:sz="6" w:space="0"/>
              <w:left w:val="single" w:color="auto" w:sz="12" w:space="0"/>
              <w:bottom w:val="single" w:color="auto" w:sz="6" w:space="0"/>
              <w:right w:val="single" w:color="auto" w:sz="6" w:space="0"/>
            </w:tcBorders>
          </w:tcPr>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2</w:t>
            </w:r>
          </w:p>
        </w:tc>
        <w:tc>
          <w:tcPr>
            <w:tcW w:w="152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p>
        </w:tc>
        <w:tc>
          <w:tcPr>
            <w:tcW w:w="213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p>
        </w:tc>
        <w:tc>
          <w:tcPr>
            <w:tcW w:w="27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p>
        </w:tc>
        <w:tc>
          <w:tcPr>
            <w:tcW w:w="1417" w:type="dxa"/>
            <w:tcBorders>
              <w:top w:val="single" w:color="auto" w:sz="6" w:space="0"/>
              <w:left w:val="single" w:color="auto" w:sz="6" w:space="0"/>
              <w:bottom w:val="single" w:color="auto" w:sz="6" w:space="0"/>
              <w:right w:val="single" w:color="auto" w:sz="12" w:space="0"/>
            </w:tcBorders>
          </w:tcPr>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959" w:type="dxa"/>
            <w:tcBorders>
              <w:top w:val="single" w:color="auto" w:sz="6" w:space="0"/>
              <w:left w:val="single" w:color="auto" w:sz="12" w:space="0"/>
              <w:bottom w:val="single" w:color="auto" w:sz="6" w:space="0"/>
              <w:right w:val="single" w:color="auto" w:sz="6" w:space="0"/>
            </w:tcBorders>
          </w:tcPr>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3</w:t>
            </w:r>
          </w:p>
        </w:tc>
        <w:tc>
          <w:tcPr>
            <w:tcW w:w="152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p>
        </w:tc>
        <w:tc>
          <w:tcPr>
            <w:tcW w:w="213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p>
        </w:tc>
        <w:tc>
          <w:tcPr>
            <w:tcW w:w="27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p>
        </w:tc>
        <w:tc>
          <w:tcPr>
            <w:tcW w:w="1417" w:type="dxa"/>
            <w:tcBorders>
              <w:top w:val="single" w:color="auto" w:sz="6" w:space="0"/>
              <w:left w:val="single" w:color="auto" w:sz="6" w:space="0"/>
              <w:bottom w:val="single" w:color="auto" w:sz="6" w:space="0"/>
              <w:right w:val="single" w:color="auto" w:sz="12" w:space="0"/>
            </w:tcBorders>
          </w:tcPr>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jc w:val="center"/>
        </w:trPr>
        <w:tc>
          <w:tcPr>
            <w:tcW w:w="959" w:type="dxa"/>
            <w:tcBorders>
              <w:top w:val="single" w:color="auto" w:sz="6" w:space="0"/>
              <w:left w:val="single" w:color="auto" w:sz="12" w:space="0"/>
              <w:bottom w:val="single" w:color="auto" w:sz="6" w:space="0"/>
              <w:right w:val="single" w:color="auto" w:sz="6" w:space="0"/>
            </w:tcBorders>
          </w:tcPr>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p>
        </w:tc>
        <w:tc>
          <w:tcPr>
            <w:tcW w:w="152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p>
        </w:tc>
        <w:tc>
          <w:tcPr>
            <w:tcW w:w="213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p>
        </w:tc>
        <w:tc>
          <w:tcPr>
            <w:tcW w:w="27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p>
        </w:tc>
        <w:tc>
          <w:tcPr>
            <w:tcW w:w="1417" w:type="dxa"/>
            <w:tcBorders>
              <w:top w:val="single" w:color="auto" w:sz="6" w:space="0"/>
              <w:left w:val="single" w:color="auto" w:sz="6" w:space="0"/>
              <w:bottom w:val="single" w:color="auto" w:sz="6" w:space="0"/>
              <w:right w:val="single" w:color="auto" w:sz="12" w:space="0"/>
            </w:tcBorders>
          </w:tcPr>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p>
        </w:tc>
      </w:tr>
    </w:tbl>
    <w:p>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sz w:val="24"/>
          <w:szCs w:val="24"/>
        </w:rPr>
      </w:pPr>
      <w:r>
        <w:rPr>
          <w:rFonts w:ascii="Times New Roman" w:hAnsi="Times New Roman" w:eastAsia="宋体" w:cs="宋体"/>
          <w:sz w:val="24"/>
          <w:szCs w:val="24"/>
        </w:rPr>
        <w:t>注：</w:t>
      </w:r>
    </w:p>
    <w:p>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sz w:val="24"/>
          <w:szCs w:val="24"/>
        </w:rPr>
      </w:pPr>
      <w:r>
        <w:rPr>
          <w:rFonts w:ascii="Times New Roman" w:hAnsi="Times New Roman" w:eastAsia="宋体" w:cs="宋体"/>
          <w:sz w:val="24"/>
          <w:szCs w:val="24"/>
        </w:rPr>
        <w:t>1、响应人提交的响应文件中与磋商文件第三部分</w:t>
      </w:r>
      <w:r>
        <w:rPr>
          <w:rFonts w:hint="eastAsia" w:ascii="Times New Roman" w:hAnsi="Times New Roman" w:eastAsia="宋体" w:cs="宋体"/>
          <w:sz w:val="24"/>
          <w:szCs w:val="24"/>
          <w:lang w:eastAsia="zh-CN"/>
        </w:rPr>
        <w:t>“</w:t>
      </w:r>
      <w:r>
        <w:rPr>
          <w:rFonts w:ascii="Times New Roman" w:hAnsi="Times New Roman" w:eastAsia="宋体" w:cs="宋体"/>
          <w:sz w:val="24"/>
          <w:szCs w:val="24"/>
        </w:rPr>
        <w:t>项目需求说明</w:t>
      </w:r>
      <w:r>
        <w:rPr>
          <w:rFonts w:hint="eastAsia" w:ascii="Times New Roman" w:hAnsi="Times New Roman" w:eastAsia="宋体" w:cs="宋体"/>
          <w:sz w:val="24"/>
          <w:szCs w:val="24"/>
          <w:lang w:eastAsia="zh-CN"/>
        </w:rPr>
        <w:t>”</w:t>
      </w:r>
      <w:r>
        <w:rPr>
          <w:rFonts w:ascii="Times New Roman" w:hAnsi="Times New Roman" w:eastAsia="宋体" w:cs="宋体"/>
          <w:sz w:val="24"/>
          <w:szCs w:val="24"/>
        </w:rPr>
        <w:t>中的</w:t>
      </w:r>
      <w:r>
        <w:rPr>
          <w:rFonts w:hint="eastAsia" w:ascii="Times New Roman" w:hAnsi="Times New Roman" w:eastAsia="宋体" w:cs="宋体"/>
          <w:sz w:val="24"/>
          <w:szCs w:val="24"/>
          <w:lang w:eastAsia="zh-CN"/>
        </w:rPr>
        <w:t>商务</w:t>
      </w:r>
      <w:r>
        <w:rPr>
          <w:rFonts w:ascii="Times New Roman" w:hAnsi="Times New Roman" w:eastAsia="宋体" w:cs="宋体"/>
          <w:sz w:val="24"/>
          <w:szCs w:val="24"/>
        </w:rPr>
        <w:t>部分的要求有不同时，应逐条填列在偏离表中，否则将认为响应人接受磋商文件的所有要求。完全响应部分不填。</w:t>
      </w:r>
    </w:p>
    <w:p>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sz w:val="24"/>
          <w:szCs w:val="24"/>
        </w:rPr>
      </w:pPr>
      <w:r>
        <w:rPr>
          <w:rFonts w:ascii="Times New Roman" w:hAnsi="Times New Roman" w:eastAsia="宋体" w:cs="宋体"/>
          <w:sz w:val="24"/>
          <w:szCs w:val="24"/>
        </w:rPr>
        <w:t>2、</w:t>
      </w:r>
      <w:r>
        <w:rPr>
          <w:rFonts w:hint="eastAsia" w:ascii="Times New Roman" w:hAnsi="Times New Roman" w:eastAsia="宋体" w:cs="宋体"/>
          <w:sz w:val="24"/>
          <w:szCs w:val="24"/>
          <w:lang w:eastAsia="zh-CN"/>
        </w:rPr>
        <w:t>“</w:t>
      </w:r>
      <w:r>
        <w:rPr>
          <w:rFonts w:ascii="Times New Roman" w:hAnsi="Times New Roman" w:eastAsia="宋体" w:cs="宋体"/>
          <w:sz w:val="24"/>
          <w:szCs w:val="24"/>
        </w:rPr>
        <w:t>偏离说明</w:t>
      </w:r>
      <w:r>
        <w:rPr>
          <w:rFonts w:hint="eastAsia" w:ascii="Times New Roman" w:hAnsi="Times New Roman" w:eastAsia="宋体" w:cs="宋体"/>
          <w:sz w:val="24"/>
          <w:szCs w:val="24"/>
          <w:lang w:eastAsia="zh-CN"/>
        </w:rPr>
        <w:t>”</w:t>
      </w:r>
      <w:r>
        <w:rPr>
          <w:rFonts w:ascii="Times New Roman" w:hAnsi="Times New Roman" w:eastAsia="宋体" w:cs="宋体"/>
          <w:sz w:val="24"/>
          <w:szCs w:val="24"/>
        </w:rPr>
        <w:t>一栏选择</w:t>
      </w:r>
      <w:r>
        <w:rPr>
          <w:rFonts w:hint="eastAsia" w:ascii="Times New Roman" w:hAnsi="Times New Roman" w:eastAsia="宋体" w:cs="宋体"/>
          <w:sz w:val="24"/>
          <w:szCs w:val="24"/>
          <w:lang w:eastAsia="zh-CN"/>
        </w:rPr>
        <w:t>“</w:t>
      </w:r>
      <w:r>
        <w:rPr>
          <w:rFonts w:ascii="Times New Roman" w:hAnsi="Times New Roman" w:eastAsia="宋体" w:cs="宋体"/>
          <w:sz w:val="24"/>
          <w:szCs w:val="24"/>
        </w:rPr>
        <w:t>正偏离</w:t>
      </w:r>
      <w:r>
        <w:rPr>
          <w:rFonts w:hint="eastAsia" w:ascii="Times New Roman" w:hAnsi="Times New Roman" w:eastAsia="宋体" w:cs="宋体"/>
          <w:sz w:val="24"/>
          <w:szCs w:val="24"/>
          <w:lang w:eastAsia="zh-CN"/>
        </w:rPr>
        <w:t>”</w:t>
      </w:r>
      <w:r>
        <w:rPr>
          <w:rFonts w:ascii="Times New Roman" w:hAnsi="Times New Roman" w:eastAsia="宋体" w:cs="宋体"/>
          <w:sz w:val="24"/>
          <w:szCs w:val="24"/>
        </w:rPr>
        <w:t>、</w:t>
      </w:r>
      <w:r>
        <w:rPr>
          <w:rFonts w:hint="eastAsia" w:ascii="Times New Roman" w:hAnsi="Times New Roman" w:eastAsia="宋体" w:cs="宋体"/>
          <w:sz w:val="24"/>
          <w:szCs w:val="24"/>
          <w:lang w:eastAsia="zh-CN"/>
        </w:rPr>
        <w:t>“</w:t>
      </w:r>
      <w:r>
        <w:rPr>
          <w:rFonts w:ascii="Times New Roman" w:hAnsi="Times New Roman" w:eastAsia="宋体" w:cs="宋体"/>
          <w:sz w:val="24"/>
          <w:szCs w:val="24"/>
        </w:rPr>
        <w:t>负偏离</w:t>
      </w:r>
      <w:r>
        <w:rPr>
          <w:rFonts w:hint="eastAsia" w:ascii="Times New Roman" w:hAnsi="Times New Roman" w:eastAsia="宋体" w:cs="宋体"/>
          <w:sz w:val="24"/>
          <w:szCs w:val="24"/>
          <w:lang w:eastAsia="zh-CN"/>
        </w:rPr>
        <w:t>”</w:t>
      </w:r>
      <w:r>
        <w:rPr>
          <w:rFonts w:ascii="Times New Roman" w:hAnsi="Times New Roman" w:eastAsia="宋体" w:cs="宋体"/>
          <w:sz w:val="24"/>
          <w:szCs w:val="24"/>
        </w:rPr>
        <w:t>进行填写。正偏离的确认和负偏离的是否相应磋商文件，经三分之二评委认定。</w:t>
      </w:r>
    </w:p>
    <w:p>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3、响应人如果虚假响应，将承担一切可能的风险。</w:t>
      </w:r>
    </w:p>
    <w:p>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4、供应商若提供其他增值服务，可以在表中自行据实填写。</w:t>
      </w:r>
    </w:p>
    <w:p>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sz w:val="24"/>
          <w:szCs w:val="24"/>
        </w:rPr>
      </w:pPr>
    </w:p>
    <w:p>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sz w:val="24"/>
          <w:szCs w:val="24"/>
        </w:rPr>
      </w:pPr>
    </w:p>
    <w:p>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供应商名称（盖章）：</w:t>
      </w:r>
    </w:p>
    <w:p>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法人或授权委托人（签字或盖章）：</w:t>
      </w:r>
    </w:p>
    <w:p>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sz w:val="24"/>
          <w:szCs w:val="24"/>
        </w:rPr>
      </w:pPr>
      <w:r>
        <w:rPr>
          <w:rFonts w:ascii="Times New Roman" w:hAnsi="Times New Roman" w:eastAsia="宋体" w:cs="宋体"/>
          <w:sz w:val="24"/>
          <w:szCs w:val="24"/>
        </w:rPr>
        <w:t>日期：</w:t>
      </w:r>
    </w:p>
    <w:p>
      <w:pPr>
        <w:rPr>
          <w:rFonts w:hint="eastAsia"/>
          <w:lang w:val="en-US" w:eastAsia="zh-CN"/>
        </w:rPr>
      </w:pPr>
      <w:r>
        <w:rPr>
          <w:rFonts w:hint="eastAsia" w:ascii="Times New Roman" w:hAnsi="Times New Roman" w:eastAsia="宋体" w:cs="宋体"/>
          <w:b/>
          <w:bCs/>
          <w:sz w:val="24"/>
          <w:szCs w:val="24"/>
          <w:lang w:val="en-US" w:eastAsia="zh-CN"/>
        </w:rPr>
        <w:br w:type="page"/>
      </w:r>
    </w:p>
    <w:p>
      <w:pPr>
        <w:keepNext w:val="0"/>
        <w:keepLines w:val="0"/>
        <w:pageBreakBefore w:val="0"/>
        <w:widowControl w:val="0"/>
        <w:kinsoku/>
        <w:wordWrap/>
        <w:topLinePunct w:val="0"/>
        <w:autoSpaceDE/>
        <w:autoSpaceDN/>
        <w:bidi w:val="0"/>
        <w:spacing w:line="360" w:lineRule="auto"/>
        <w:jc w:val="center"/>
        <w:rPr>
          <w:rFonts w:ascii="Times New Roman" w:hAnsi="Times New Roman" w:eastAsia="宋体" w:cs="宋体"/>
          <w:b/>
          <w:bCs/>
          <w:sz w:val="24"/>
          <w:szCs w:val="24"/>
        </w:rPr>
      </w:pPr>
      <w:r>
        <w:rPr>
          <w:rFonts w:hint="eastAsia" w:ascii="Times New Roman" w:hAnsi="Times New Roman" w:eastAsia="宋体" w:cs="宋体"/>
          <w:b/>
          <w:bCs/>
          <w:sz w:val="24"/>
          <w:szCs w:val="24"/>
          <w:lang w:val="en-US" w:eastAsia="zh-CN"/>
        </w:rPr>
        <w:t>7</w:t>
      </w:r>
      <w:r>
        <w:rPr>
          <w:rFonts w:hint="eastAsia" w:ascii="Times New Roman" w:hAnsi="Times New Roman" w:eastAsia="宋体" w:cs="宋体"/>
          <w:b/>
          <w:bCs/>
          <w:sz w:val="24"/>
          <w:szCs w:val="24"/>
        </w:rPr>
        <w:t>、竞争性磋商响应函</w:t>
      </w: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rPr>
      </w:pPr>
      <w:r>
        <w:rPr>
          <w:rFonts w:hint="eastAsia" w:ascii="Times New Roman" w:hAnsi="Times New Roman" w:eastAsia="宋体"/>
          <w:sz w:val="24"/>
          <w:szCs w:val="24"/>
          <w:u w:val="single"/>
        </w:rPr>
        <w:t>南通市第三人民医院</w:t>
      </w:r>
      <w:r>
        <w:rPr>
          <w:rFonts w:hint="eastAsia" w:ascii="Times New Roman" w:hAnsi="Times New Roman" w:eastAsia="宋体" w:cs="宋体"/>
          <w:sz w:val="24"/>
          <w:szCs w:val="24"/>
        </w:rPr>
        <w:t>：</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依据贵单位委托代理机构组织的（磋商项目名称)项目竞争性磋商的邀请，我方授权</w:t>
      </w:r>
      <w:r>
        <w:rPr>
          <w:rFonts w:hint="eastAsia" w:ascii="Times New Roman" w:hAnsi="Times New Roman" w:eastAsia="宋体"/>
          <w:sz w:val="24"/>
          <w:szCs w:val="24"/>
          <w:u w:val="single"/>
        </w:rPr>
        <w:t>（姓名）（职务）为</w:t>
      </w:r>
      <w:r>
        <w:rPr>
          <w:rFonts w:hint="eastAsia" w:ascii="Times New Roman" w:hAnsi="Times New Roman" w:eastAsia="宋体"/>
          <w:sz w:val="24"/>
          <w:szCs w:val="24"/>
        </w:rPr>
        <w:t>全权代表参加该项目的磋商工作，全权处理本次竞争性磋商的有关事宜。同时，我公司声明如下：</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1、同意并接受竞争性磋商文件的各项要求，遵守竞争性磋商文件中的各项规定，按竞争性磋商文件的要求提供报价。</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2、我公司已经详细阅读了竞争性磋商文件的全部内容，我方已完全清晰理解竞争性磋商文件的要求，不存在任何含糊不清和误解之处，同意放弃对竞争性磋商文件所表述的内容提出异议和质疑的权利。</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3、我公司已毫无保留地向贵方提供一切所需的证明材料。</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4、我公司承诺在本次磋商响应中提供的一切文件，无论是原件还是复印件均真实有效，绝无任何虚假、伪造和夸大的成份。否则，愿承担相应的后果和法律责任。</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b/>
          <w:sz w:val="24"/>
          <w:szCs w:val="24"/>
        </w:rPr>
      </w:pPr>
      <w:r>
        <w:rPr>
          <w:rFonts w:hint="eastAsia" w:ascii="Times New Roman" w:hAnsi="Times New Roman" w:eastAsia="宋体"/>
          <w:sz w:val="24"/>
          <w:szCs w:val="24"/>
        </w:rPr>
        <w:t>5、</w:t>
      </w:r>
      <w:r>
        <w:rPr>
          <w:rFonts w:hint="eastAsia" w:ascii="Times New Roman" w:hAnsi="Times New Roman" w:eastAsia="宋体"/>
          <w:b/>
          <w:sz w:val="24"/>
          <w:szCs w:val="24"/>
        </w:rPr>
        <w:t>我公司尊重磋商小组所作的评定结果，同时清楚理解到报价最低并非意味着必定获得成交资格。</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sz w:val="24"/>
          <w:szCs w:val="24"/>
        </w:rPr>
      </w:pPr>
      <w:r>
        <w:rPr>
          <w:rFonts w:ascii="Times New Roman" w:hAnsi="Times New Roman" w:eastAsia="宋体"/>
          <w:sz w:val="24"/>
          <w:szCs w:val="24"/>
        </w:rPr>
        <w:t>6</w:t>
      </w:r>
      <w:r>
        <w:rPr>
          <w:rFonts w:hint="eastAsia" w:ascii="Times New Roman" w:hAnsi="Times New Roman" w:eastAsia="宋体"/>
          <w:sz w:val="24"/>
          <w:szCs w:val="24"/>
        </w:rPr>
        <w:t>、一旦成交，我方承诺无正当理由拒绝签订合同，将被贵方取消成交资格，同意贵方将磋商保证金作为违约金全额不予退还的处理。</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sz w:val="24"/>
          <w:szCs w:val="24"/>
        </w:rPr>
      </w:pPr>
      <w:r>
        <w:rPr>
          <w:rFonts w:ascii="Times New Roman" w:hAnsi="Times New Roman" w:eastAsia="宋体"/>
          <w:sz w:val="24"/>
          <w:szCs w:val="24"/>
        </w:rPr>
        <w:t>7</w:t>
      </w:r>
      <w:r>
        <w:rPr>
          <w:rFonts w:hint="eastAsia" w:ascii="Times New Roman" w:hAnsi="Times New Roman" w:eastAsia="宋体"/>
          <w:sz w:val="24"/>
          <w:szCs w:val="24"/>
        </w:rPr>
        <w:t>、</w:t>
      </w:r>
      <w:r>
        <w:rPr>
          <w:rFonts w:hint="eastAsia" w:ascii="Times New Roman" w:hAnsi="Times New Roman" w:eastAsia="宋体"/>
          <w:b/>
          <w:sz w:val="24"/>
          <w:szCs w:val="24"/>
        </w:rPr>
        <w:t>一旦成交，我方将根据竞争性磋商文件的规定，严格履行合同规定的责任和义务，并保证在竞争性磋商文件中规定的时间期限内完成合同项目。</w:t>
      </w:r>
    </w:p>
    <w:p>
      <w:pPr>
        <w:keepNext w:val="0"/>
        <w:keepLines w:val="0"/>
        <w:pageBreakBefore w:val="0"/>
        <w:widowControl w:val="0"/>
        <w:kinsoku/>
        <w:wordWrap/>
        <w:topLinePunct w:val="0"/>
        <w:autoSpaceDE/>
        <w:autoSpaceDN/>
        <w:bidi w:val="0"/>
        <w:spacing w:line="360" w:lineRule="auto"/>
        <w:ind w:firstLine="2760" w:firstLineChars="1150"/>
        <w:textAlignment w:val="baseline"/>
        <w:rPr>
          <w:rFonts w:ascii="Times New Roman" w:hAnsi="Times New Roman" w:eastAsia="宋体"/>
          <w:sz w:val="24"/>
          <w:szCs w:val="24"/>
        </w:rPr>
      </w:pPr>
    </w:p>
    <w:p>
      <w:pPr>
        <w:keepNext w:val="0"/>
        <w:keepLines w:val="0"/>
        <w:pageBreakBefore w:val="0"/>
        <w:widowControl w:val="0"/>
        <w:kinsoku/>
        <w:wordWrap/>
        <w:topLinePunct w:val="0"/>
        <w:autoSpaceDE/>
        <w:autoSpaceDN/>
        <w:bidi w:val="0"/>
        <w:spacing w:line="360" w:lineRule="auto"/>
        <w:ind w:firstLine="2760" w:firstLineChars="1150"/>
        <w:textAlignment w:val="baseline"/>
        <w:rPr>
          <w:rFonts w:ascii="Times New Roman" w:hAnsi="Times New Roman" w:eastAsia="宋体"/>
          <w:sz w:val="24"/>
          <w:szCs w:val="24"/>
        </w:rPr>
      </w:pPr>
      <w:r>
        <w:rPr>
          <w:rFonts w:hint="eastAsia" w:ascii="Times New Roman" w:hAnsi="Times New Roman" w:eastAsia="宋体"/>
          <w:sz w:val="24"/>
          <w:szCs w:val="24"/>
        </w:rPr>
        <w:t>竞争性磋商响应单位：（加盖公章）</w:t>
      </w:r>
    </w:p>
    <w:p>
      <w:pPr>
        <w:keepNext w:val="0"/>
        <w:keepLines w:val="0"/>
        <w:pageBreakBefore w:val="0"/>
        <w:widowControl w:val="0"/>
        <w:kinsoku/>
        <w:wordWrap/>
        <w:topLinePunct w:val="0"/>
        <w:autoSpaceDE/>
        <w:autoSpaceDN/>
        <w:bidi w:val="0"/>
        <w:spacing w:line="360" w:lineRule="auto"/>
        <w:ind w:firstLine="3600" w:firstLineChars="1500"/>
        <w:textAlignment w:val="baseline"/>
        <w:rPr>
          <w:rFonts w:ascii="Times New Roman" w:hAnsi="Times New Roman" w:eastAsia="宋体"/>
          <w:sz w:val="24"/>
          <w:szCs w:val="24"/>
        </w:rPr>
      </w:pPr>
      <w:r>
        <w:rPr>
          <w:rFonts w:hint="eastAsia" w:ascii="Times New Roman" w:hAnsi="Times New Roman" w:eastAsia="宋体"/>
          <w:sz w:val="24"/>
          <w:szCs w:val="24"/>
        </w:rPr>
        <w:t>法定代表人：（签字或盖章）</w:t>
      </w:r>
    </w:p>
    <w:p>
      <w:pPr>
        <w:keepNext w:val="0"/>
        <w:keepLines w:val="0"/>
        <w:pageBreakBefore w:val="0"/>
        <w:widowControl w:val="0"/>
        <w:kinsoku/>
        <w:wordWrap/>
        <w:topLinePunct w:val="0"/>
        <w:autoSpaceDE/>
        <w:autoSpaceDN/>
        <w:bidi w:val="0"/>
        <w:spacing w:line="360" w:lineRule="auto"/>
        <w:ind w:firstLine="6840" w:firstLineChars="2850"/>
        <w:textAlignment w:val="baseline"/>
        <w:rPr>
          <w:rFonts w:ascii="Times New Roman" w:hAnsi="Times New Roman" w:eastAsia="宋体"/>
          <w:sz w:val="24"/>
          <w:szCs w:val="24"/>
        </w:rPr>
      </w:pPr>
      <w:r>
        <w:rPr>
          <w:rFonts w:hint="eastAsia" w:ascii="Times New Roman" w:hAnsi="Times New Roman" w:eastAsia="宋体"/>
          <w:sz w:val="24"/>
          <w:szCs w:val="24"/>
        </w:rPr>
        <w:t>年月日</w:t>
      </w:r>
    </w:p>
    <w:p>
      <w:pPr>
        <w:keepNext w:val="0"/>
        <w:keepLines w:val="0"/>
        <w:pageBreakBefore w:val="0"/>
        <w:widowControl w:val="0"/>
        <w:kinsoku/>
        <w:wordWrap/>
        <w:topLinePunct w:val="0"/>
        <w:autoSpaceDE/>
        <w:autoSpaceDN/>
        <w:bidi w:val="0"/>
        <w:spacing w:line="360" w:lineRule="auto"/>
        <w:jc w:val="left"/>
        <w:rPr>
          <w:rFonts w:ascii="Times New Roman" w:hAnsi="Times New Roman" w:eastAsia="宋体"/>
          <w:sz w:val="24"/>
          <w:szCs w:val="24"/>
        </w:rPr>
      </w:pPr>
      <w:r>
        <w:rPr>
          <w:rFonts w:ascii="Times New Roman" w:hAnsi="Times New Roman" w:eastAsia="宋体"/>
          <w:sz w:val="24"/>
          <w:szCs w:val="24"/>
        </w:rPr>
        <w:br w:type="page"/>
      </w:r>
    </w:p>
    <w:p>
      <w:pPr>
        <w:keepNext w:val="0"/>
        <w:keepLines w:val="0"/>
        <w:pageBreakBefore w:val="0"/>
        <w:widowControl w:val="0"/>
        <w:kinsoku/>
        <w:wordWrap/>
        <w:topLinePunct w:val="0"/>
        <w:autoSpaceDE/>
        <w:autoSpaceDN/>
        <w:bidi w:val="0"/>
        <w:spacing w:line="360" w:lineRule="auto"/>
        <w:jc w:val="center"/>
        <w:rPr>
          <w:rFonts w:ascii="Times New Roman" w:hAnsi="Times New Roman" w:eastAsia="宋体"/>
        </w:rPr>
      </w:pPr>
      <w:r>
        <w:rPr>
          <w:rFonts w:hint="eastAsia" w:ascii="Times New Roman" w:hAnsi="Times New Roman" w:eastAsia="宋体" w:cs="宋体"/>
          <w:b/>
          <w:sz w:val="24"/>
          <w:szCs w:val="24"/>
          <w:lang w:val="en-US" w:eastAsia="zh-CN"/>
        </w:rPr>
        <w:t>8</w:t>
      </w:r>
      <w:r>
        <w:rPr>
          <w:rFonts w:hint="eastAsia" w:ascii="Times New Roman" w:hAnsi="Times New Roman" w:eastAsia="宋体" w:cs="宋体"/>
          <w:b/>
          <w:sz w:val="24"/>
          <w:szCs w:val="24"/>
        </w:rPr>
        <w:t>、磋商响应报价表</w:t>
      </w:r>
    </w:p>
    <w:p>
      <w:pPr>
        <w:keepNext w:val="0"/>
        <w:keepLines w:val="0"/>
        <w:pageBreakBefore w:val="0"/>
        <w:widowControl w:val="0"/>
        <w:kinsoku/>
        <w:wordWrap/>
        <w:topLinePunct w:val="0"/>
        <w:autoSpaceDE/>
        <w:autoSpaceDN/>
        <w:bidi w:val="0"/>
        <w:spacing w:line="360" w:lineRule="auto"/>
        <w:ind w:firstLine="241" w:firstLineChars="100"/>
        <w:textAlignment w:val="baseline"/>
        <w:rPr>
          <w:rFonts w:hint="eastAsia" w:ascii="Times New Roman" w:hAnsi="Times New Roman" w:eastAsia="宋体"/>
          <w:b/>
          <w:sz w:val="24"/>
          <w:szCs w:val="24"/>
          <w:lang w:eastAsia="zh-CN"/>
        </w:rPr>
      </w:pPr>
      <w:r>
        <w:rPr>
          <w:rFonts w:hint="eastAsia" w:ascii="Times New Roman" w:hAnsi="Times New Roman" w:eastAsia="宋体"/>
          <w:b/>
          <w:sz w:val="24"/>
          <w:szCs w:val="24"/>
        </w:rPr>
        <w:t>项目</w:t>
      </w:r>
      <w:r>
        <w:rPr>
          <w:rFonts w:ascii="Times New Roman" w:hAnsi="Times New Roman" w:eastAsia="宋体"/>
          <w:b/>
          <w:sz w:val="24"/>
          <w:szCs w:val="24"/>
        </w:rPr>
        <w:t>名称：</w:t>
      </w:r>
      <w:r>
        <w:rPr>
          <w:rFonts w:hint="eastAsia" w:ascii="Times New Roman" w:hAnsi="Times New Roman" w:eastAsia="宋体"/>
          <w:sz w:val="24"/>
          <w:szCs w:val="24"/>
          <w:lang w:eastAsia="zh-CN"/>
        </w:rPr>
        <w:t>南通市第三人民医院多学科会诊平台项目</w:t>
      </w:r>
    </w:p>
    <w:tbl>
      <w:tblPr>
        <w:tblStyle w:val="23"/>
        <w:tblW w:w="93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6"/>
        <w:gridCol w:w="2180"/>
        <w:gridCol w:w="1945"/>
        <w:gridCol w:w="3855"/>
        <w:gridCol w:w="8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6" w:hRule="atLeast"/>
          <w:jc w:val="center"/>
        </w:trPr>
        <w:tc>
          <w:tcPr>
            <w:tcW w:w="5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b/>
                <w:sz w:val="24"/>
                <w:szCs w:val="24"/>
              </w:rPr>
            </w:pPr>
            <w:r>
              <w:rPr>
                <w:rFonts w:hint="eastAsia" w:ascii="Times New Roman" w:hAnsi="Times New Roman" w:eastAsia="宋体"/>
                <w:b/>
                <w:sz w:val="24"/>
                <w:szCs w:val="24"/>
              </w:rPr>
              <w:t>序号</w:t>
            </w:r>
          </w:p>
        </w:tc>
        <w:tc>
          <w:tcPr>
            <w:tcW w:w="21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sz w:val="24"/>
                <w:szCs w:val="24"/>
              </w:rPr>
            </w:pPr>
            <w:r>
              <w:rPr>
                <w:rFonts w:hint="eastAsia" w:ascii="Times New Roman" w:hAnsi="Times New Roman" w:eastAsia="宋体"/>
                <w:b/>
                <w:sz w:val="24"/>
                <w:szCs w:val="24"/>
              </w:rPr>
              <w:t>项目内容</w:t>
            </w:r>
          </w:p>
        </w:tc>
        <w:tc>
          <w:tcPr>
            <w:tcW w:w="19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sz w:val="24"/>
                <w:szCs w:val="24"/>
              </w:rPr>
            </w:pPr>
            <w:r>
              <w:rPr>
                <w:rFonts w:hint="eastAsia" w:ascii="Times New Roman" w:hAnsi="Times New Roman" w:eastAsia="宋体"/>
                <w:b/>
                <w:sz w:val="24"/>
                <w:szCs w:val="24"/>
              </w:rPr>
              <w:t>报价轮次</w:t>
            </w:r>
          </w:p>
        </w:tc>
        <w:tc>
          <w:tcPr>
            <w:tcW w:w="38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sz w:val="24"/>
                <w:szCs w:val="24"/>
              </w:rPr>
            </w:pPr>
            <w:r>
              <w:rPr>
                <w:rFonts w:hint="eastAsia" w:ascii="Times New Roman" w:hAnsi="Times New Roman" w:eastAsia="宋体"/>
                <w:b/>
                <w:sz w:val="24"/>
                <w:szCs w:val="24"/>
              </w:rPr>
              <w:t>磋商总报价（元）</w:t>
            </w:r>
          </w:p>
        </w:tc>
        <w:tc>
          <w:tcPr>
            <w:tcW w:w="8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sz w:val="24"/>
                <w:szCs w:val="24"/>
              </w:rPr>
            </w:pPr>
            <w:r>
              <w:rPr>
                <w:rFonts w:hint="eastAsia" w:ascii="Times New Roman" w:hAnsi="Times New Roman" w:eastAsia="宋体"/>
                <w:b/>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6" w:hRule="atLeast"/>
          <w:jc w:val="center"/>
        </w:trPr>
        <w:tc>
          <w:tcPr>
            <w:tcW w:w="5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bCs/>
                <w:sz w:val="24"/>
                <w:szCs w:val="24"/>
              </w:rPr>
            </w:pPr>
            <w:r>
              <w:rPr>
                <w:rFonts w:hint="eastAsia" w:ascii="Times New Roman" w:hAnsi="Times New Roman" w:eastAsia="宋体"/>
                <w:bCs/>
                <w:sz w:val="24"/>
                <w:szCs w:val="24"/>
              </w:rPr>
              <w:t>1</w:t>
            </w:r>
          </w:p>
        </w:tc>
        <w:tc>
          <w:tcPr>
            <w:tcW w:w="218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topLinePunct w:val="0"/>
              <w:autoSpaceDE/>
              <w:autoSpaceDN/>
              <w:bidi w:val="0"/>
              <w:spacing w:line="360" w:lineRule="auto"/>
              <w:textAlignment w:val="baseline"/>
              <w:rPr>
                <w:rFonts w:hint="eastAsia" w:ascii="Times New Roman" w:hAnsi="Times New Roman" w:eastAsia="宋体"/>
                <w:b/>
                <w:bCs/>
                <w:sz w:val="20"/>
                <w:szCs w:val="21"/>
                <w:lang w:eastAsia="zh-CN"/>
              </w:rPr>
            </w:pPr>
            <w:r>
              <w:rPr>
                <w:rFonts w:hint="eastAsia" w:ascii="Times New Roman" w:hAnsi="Times New Roman" w:eastAsia="宋体"/>
                <w:b/>
                <w:sz w:val="22"/>
                <w:szCs w:val="24"/>
                <w:lang w:eastAsia="zh-CN"/>
              </w:rPr>
              <w:t>南通市第三人民医院多学科会诊平台项目</w:t>
            </w:r>
          </w:p>
        </w:tc>
        <w:tc>
          <w:tcPr>
            <w:tcW w:w="19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Cs/>
                <w:sz w:val="24"/>
                <w:szCs w:val="24"/>
              </w:rPr>
            </w:pPr>
            <w:r>
              <w:rPr>
                <w:rFonts w:hint="eastAsia" w:ascii="Times New Roman" w:hAnsi="Times New Roman" w:eastAsia="宋体"/>
                <w:bCs/>
                <w:sz w:val="24"/>
                <w:szCs w:val="24"/>
              </w:rPr>
              <w:t>首次</w:t>
            </w:r>
            <w:r>
              <w:rPr>
                <w:rFonts w:ascii="Times New Roman" w:hAnsi="Times New Roman" w:eastAsia="宋体"/>
                <w:bCs/>
                <w:sz w:val="24"/>
                <w:szCs w:val="24"/>
              </w:rPr>
              <w:t>报价</w:t>
            </w:r>
          </w:p>
        </w:tc>
        <w:tc>
          <w:tcPr>
            <w:tcW w:w="38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sz w:val="24"/>
                <w:szCs w:val="24"/>
              </w:rPr>
            </w:pPr>
            <w:r>
              <w:rPr>
                <w:rFonts w:hint="eastAsia" w:ascii="Times New Roman" w:hAnsi="Times New Roman" w:eastAsia="宋体"/>
                <w:sz w:val="24"/>
                <w:szCs w:val="24"/>
              </w:rPr>
              <w:t>大写（人民币）：</w:t>
            </w: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sz w:val="24"/>
                <w:szCs w:val="24"/>
              </w:rPr>
            </w:pPr>
            <w:r>
              <w:rPr>
                <w:rFonts w:hint="eastAsia" w:ascii="Times New Roman" w:hAnsi="Times New Roman" w:eastAsia="宋体"/>
                <w:sz w:val="24"/>
                <w:szCs w:val="24"/>
              </w:rPr>
              <w:t>小写（￥）：</w:t>
            </w:r>
          </w:p>
        </w:tc>
        <w:tc>
          <w:tcPr>
            <w:tcW w:w="8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8" w:hRule="atLeast"/>
          <w:jc w:val="center"/>
        </w:trPr>
        <w:tc>
          <w:tcPr>
            <w:tcW w:w="5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bCs/>
                <w:sz w:val="24"/>
                <w:szCs w:val="24"/>
              </w:rPr>
            </w:pPr>
            <w:r>
              <w:rPr>
                <w:rFonts w:hint="eastAsia" w:ascii="Times New Roman" w:hAnsi="Times New Roman" w:eastAsia="宋体"/>
                <w:bCs/>
                <w:sz w:val="24"/>
                <w:szCs w:val="24"/>
              </w:rPr>
              <w:t>2</w:t>
            </w:r>
          </w:p>
        </w:tc>
        <w:tc>
          <w:tcPr>
            <w:tcW w:w="2180" w:type="dxa"/>
            <w:vMerge w:val="continue"/>
            <w:tcBorders>
              <w:left w:val="single" w:color="auto" w:sz="4" w:space="0"/>
              <w:right w:val="single" w:color="auto" w:sz="4" w:space="0"/>
            </w:tcBorders>
            <w:vAlign w:val="center"/>
          </w:tcPr>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bCs/>
                <w:sz w:val="24"/>
                <w:szCs w:val="24"/>
              </w:rPr>
            </w:pPr>
          </w:p>
        </w:tc>
        <w:tc>
          <w:tcPr>
            <w:tcW w:w="19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Cs/>
                <w:sz w:val="24"/>
                <w:szCs w:val="24"/>
              </w:rPr>
            </w:pPr>
            <w:r>
              <w:rPr>
                <w:rFonts w:hint="eastAsia" w:ascii="Times New Roman" w:hAnsi="Times New Roman" w:eastAsia="宋体"/>
                <w:bCs/>
                <w:sz w:val="24"/>
                <w:szCs w:val="24"/>
              </w:rPr>
              <w:t>第二次</w:t>
            </w:r>
            <w:r>
              <w:rPr>
                <w:rFonts w:ascii="Times New Roman" w:hAnsi="Times New Roman" w:eastAsia="宋体"/>
                <w:bCs/>
                <w:sz w:val="24"/>
                <w:szCs w:val="24"/>
              </w:rPr>
              <w:t>报价</w:t>
            </w:r>
            <w:r>
              <w:rPr>
                <w:rFonts w:hint="eastAsia" w:ascii="Times New Roman" w:hAnsi="Times New Roman" w:eastAsia="宋体"/>
                <w:bCs/>
                <w:sz w:val="24"/>
                <w:szCs w:val="24"/>
              </w:rPr>
              <w:t>（开标现场填写）</w:t>
            </w:r>
          </w:p>
        </w:tc>
        <w:tc>
          <w:tcPr>
            <w:tcW w:w="38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sz w:val="24"/>
                <w:szCs w:val="24"/>
              </w:rPr>
            </w:pPr>
            <w:r>
              <w:rPr>
                <w:rFonts w:hint="eastAsia" w:ascii="Times New Roman" w:hAnsi="Times New Roman" w:eastAsia="宋体"/>
                <w:sz w:val="24"/>
                <w:szCs w:val="24"/>
              </w:rPr>
              <w:t>大写（人民币）：</w:t>
            </w: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sz w:val="24"/>
                <w:szCs w:val="24"/>
              </w:rPr>
            </w:pPr>
            <w:r>
              <w:rPr>
                <w:rFonts w:hint="eastAsia" w:ascii="Times New Roman" w:hAnsi="Times New Roman" w:eastAsia="宋体"/>
                <w:sz w:val="24"/>
                <w:szCs w:val="24"/>
              </w:rPr>
              <w:t>小写（￥）：</w:t>
            </w:r>
          </w:p>
        </w:tc>
        <w:tc>
          <w:tcPr>
            <w:tcW w:w="8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sz w:val="24"/>
                <w:szCs w:val="24"/>
              </w:rPr>
            </w:pPr>
          </w:p>
        </w:tc>
      </w:tr>
    </w:tbl>
    <w:p>
      <w:pPr>
        <w:keepNext w:val="0"/>
        <w:keepLines w:val="0"/>
        <w:pageBreakBefore w:val="0"/>
        <w:widowControl w:val="0"/>
        <w:kinsoku/>
        <w:wordWrap/>
        <w:topLinePunct w:val="0"/>
        <w:autoSpaceDE/>
        <w:autoSpaceDN/>
        <w:bidi w:val="0"/>
        <w:spacing w:line="360" w:lineRule="auto"/>
        <w:ind w:firstLine="2640" w:firstLineChars="1100"/>
        <w:textAlignment w:val="baseline"/>
        <w:rPr>
          <w:rFonts w:ascii="Times New Roman" w:hAnsi="Times New Roman" w:eastAsia="宋体"/>
          <w:sz w:val="24"/>
          <w:szCs w:val="24"/>
        </w:rPr>
      </w:pPr>
      <w:r>
        <w:rPr>
          <w:rFonts w:hint="eastAsia" w:ascii="Times New Roman" w:hAnsi="Times New Roman" w:eastAsia="宋体"/>
          <w:sz w:val="24"/>
          <w:szCs w:val="24"/>
        </w:rPr>
        <w:t>竞争性磋商响应单位：（加盖公章）</w:t>
      </w:r>
    </w:p>
    <w:p>
      <w:pPr>
        <w:keepNext w:val="0"/>
        <w:keepLines w:val="0"/>
        <w:pageBreakBefore w:val="0"/>
        <w:widowControl w:val="0"/>
        <w:kinsoku/>
        <w:wordWrap/>
        <w:topLinePunct w:val="0"/>
        <w:autoSpaceDE/>
        <w:autoSpaceDN/>
        <w:bidi w:val="0"/>
        <w:spacing w:line="360" w:lineRule="auto"/>
        <w:ind w:firstLine="3480" w:firstLineChars="1450"/>
        <w:textAlignment w:val="baseline"/>
        <w:rPr>
          <w:rFonts w:ascii="Times New Roman" w:hAnsi="Times New Roman" w:eastAsia="宋体"/>
          <w:sz w:val="24"/>
          <w:szCs w:val="24"/>
        </w:rPr>
      </w:pPr>
      <w:r>
        <w:rPr>
          <w:rFonts w:hint="eastAsia" w:ascii="Times New Roman" w:hAnsi="Times New Roman" w:eastAsia="宋体"/>
          <w:sz w:val="24"/>
          <w:szCs w:val="24"/>
        </w:rPr>
        <w:t>法定代表人：（签字或盖章）</w:t>
      </w: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sz w:val="20"/>
        </w:rPr>
      </w:pPr>
    </w:p>
    <w:p>
      <w:pPr>
        <w:pStyle w:val="12"/>
        <w:keepNext w:val="0"/>
        <w:keepLines w:val="0"/>
        <w:pageBreakBefore w:val="0"/>
        <w:widowControl w:val="0"/>
        <w:kinsoku/>
        <w:wordWrap/>
        <w:topLinePunct w:val="0"/>
        <w:autoSpaceDE/>
        <w:autoSpaceDN/>
        <w:bidi w:val="0"/>
        <w:spacing w:line="360" w:lineRule="auto"/>
        <w:ind w:firstLine="5400" w:firstLineChars="2250"/>
        <w:jc w:val="left"/>
        <w:textAlignment w:val="baseline"/>
        <w:rPr>
          <w:rFonts w:ascii="Times New Roman" w:hAnsi="Times New Roman" w:cs="宋体"/>
          <w:b/>
          <w:bCs/>
          <w:sz w:val="24"/>
          <w:szCs w:val="24"/>
        </w:rPr>
      </w:pPr>
      <w:r>
        <w:rPr>
          <w:rFonts w:hint="eastAsia" w:ascii="Times New Roman" w:hAnsi="Times New Roman" w:cs="宋体"/>
          <w:sz w:val="24"/>
          <w:szCs w:val="24"/>
        </w:rPr>
        <w:t>年月日</w:t>
      </w:r>
    </w:p>
    <w:p>
      <w:pPr>
        <w:pStyle w:val="12"/>
        <w:keepNext w:val="0"/>
        <w:keepLines w:val="0"/>
        <w:pageBreakBefore w:val="0"/>
        <w:widowControl w:val="0"/>
        <w:kinsoku/>
        <w:wordWrap/>
        <w:topLinePunct w:val="0"/>
        <w:autoSpaceDE/>
        <w:autoSpaceDN/>
        <w:bidi w:val="0"/>
        <w:spacing w:line="360" w:lineRule="auto"/>
        <w:textAlignment w:val="baseline"/>
        <w:rPr>
          <w:rFonts w:ascii="Times New Roman" w:hAnsi="Times New Roman" w:cs="宋体"/>
          <w:b/>
          <w:bCs/>
          <w:sz w:val="24"/>
          <w:szCs w:val="24"/>
        </w:rPr>
      </w:pP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b/>
          <w:bCs/>
          <w:sz w:val="24"/>
          <w:szCs w:val="24"/>
        </w:rPr>
      </w:pP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b/>
          <w:sz w:val="24"/>
          <w:szCs w:val="24"/>
        </w:rPr>
      </w:pPr>
      <w:r>
        <w:rPr>
          <w:rFonts w:hint="eastAsia" w:ascii="Times New Roman" w:hAnsi="Times New Roman" w:eastAsia="宋体"/>
          <w:b/>
          <w:sz w:val="24"/>
          <w:szCs w:val="24"/>
        </w:rPr>
        <w:t>注：</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sz w:val="24"/>
          <w:szCs w:val="24"/>
        </w:rPr>
        <w:t>（1）</w:t>
      </w:r>
      <w:r>
        <w:rPr>
          <w:rFonts w:ascii="Times New Roman" w:hAnsi="Times New Roman" w:eastAsia="宋体"/>
          <w:sz w:val="24"/>
          <w:szCs w:val="24"/>
        </w:rPr>
        <w:t>本表</w:t>
      </w:r>
      <w:r>
        <w:rPr>
          <w:rFonts w:hint="eastAsia" w:ascii="Times New Roman" w:hAnsi="Times New Roman" w:eastAsia="宋体"/>
          <w:sz w:val="24"/>
          <w:szCs w:val="24"/>
        </w:rPr>
        <w:t>为格式表</w:t>
      </w:r>
      <w:r>
        <w:rPr>
          <w:rFonts w:ascii="Times New Roman" w:hAnsi="Times New Roman" w:eastAsia="宋体"/>
          <w:sz w:val="24"/>
          <w:szCs w:val="24"/>
        </w:rPr>
        <w:t>，</w:t>
      </w:r>
      <w:r>
        <w:rPr>
          <w:rFonts w:hint="eastAsia" w:ascii="Times New Roman" w:hAnsi="Times New Roman" w:eastAsia="宋体"/>
          <w:sz w:val="24"/>
          <w:szCs w:val="24"/>
        </w:rPr>
        <w:t>不得自行改动，必须提供</w:t>
      </w:r>
      <w:r>
        <w:rPr>
          <w:rFonts w:ascii="Times New Roman" w:hAnsi="Times New Roman" w:eastAsia="宋体"/>
          <w:sz w:val="24"/>
          <w:szCs w:val="24"/>
        </w:rPr>
        <w:t>。</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cs="宋体"/>
          <w:sz w:val="24"/>
          <w:szCs w:val="24"/>
        </w:rPr>
        <w:t>（2）磋商报价的总价中应包含：完成本项目所需的一切费用，</w:t>
      </w:r>
      <w:r>
        <w:rPr>
          <w:rFonts w:hint="eastAsia" w:ascii="宋体" w:hAnsi="宋体" w:eastAsia="宋体"/>
          <w:bCs/>
          <w:sz w:val="24"/>
          <w:szCs w:val="24"/>
          <w:lang w:eastAsia="zh-CN"/>
        </w:rPr>
        <w:t>包含但不限于</w:t>
      </w:r>
      <w:r>
        <w:rPr>
          <w:rFonts w:hint="eastAsia" w:ascii="宋体" w:hAnsi="宋体"/>
          <w:bCs/>
          <w:sz w:val="24"/>
          <w:szCs w:val="24"/>
        </w:rPr>
        <w:t>服务的成本、利润、税金、开办费、政策性调整风险费等的所有费用；人工费、检测费、管理费；国家税务部门规定的各项税金；相关伴随服务以及售后服务等一切费用</w:t>
      </w:r>
      <w:r>
        <w:rPr>
          <w:rFonts w:hint="eastAsia" w:ascii="Times New Roman" w:hAnsi="Times New Roman" w:eastAsia="宋体" w:cs="宋体"/>
          <w:sz w:val="24"/>
          <w:szCs w:val="24"/>
        </w:rPr>
        <w:t>。同时，报价也包含了合同履行过程中可能发生的一切风险。</w:t>
      </w:r>
    </w:p>
    <w:p>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b/>
          <w:sz w:val="24"/>
          <w:szCs w:val="24"/>
        </w:rPr>
      </w:pPr>
      <w:r>
        <w:rPr>
          <w:rFonts w:hint="eastAsia" w:ascii="Times New Roman" w:hAnsi="Times New Roman" w:eastAsia="宋体"/>
          <w:b/>
          <w:sz w:val="24"/>
          <w:szCs w:val="24"/>
        </w:rPr>
        <w:t>（3）</w:t>
      </w:r>
      <w:r>
        <w:rPr>
          <w:rFonts w:hint="eastAsia" w:ascii="Times New Roman" w:hAnsi="Times New Roman" w:eastAsia="宋体"/>
          <w:b/>
          <w:color w:val="000000" w:themeColor="text1"/>
          <w:sz w:val="24"/>
          <w:szCs w:val="24"/>
          <w14:textFill>
            <w14:solidFill>
              <w14:schemeClr w14:val="tx1"/>
            </w14:solidFill>
          </w14:textFill>
        </w:rPr>
        <w:t>第二次报价将在开标现场填写，响应文件密封提交时只需填写磋商报价总计（首次）。报价明细表总价金额应当与首次报价表金额相等，且第二次报价时，磋商响应报价明细表按同比例下浮。</w:t>
      </w:r>
    </w:p>
    <w:p>
      <w:pPr>
        <w:keepNext w:val="0"/>
        <w:keepLines w:val="0"/>
        <w:pageBreakBefore w:val="0"/>
        <w:widowControl w:val="0"/>
        <w:kinsoku/>
        <w:wordWrap/>
        <w:topLinePunct w:val="0"/>
        <w:autoSpaceDE/>
        <w:autoSpaceDN/>
        <w:bidi w:val="0"/>
        <w:spacing w:line="360" w:lineRule="auto"/>
        <w:jc w:val="left"/>
        <w:rPr>
          <w:rFonts w:ascii="Times New Roman" w:hAnsi="Times New Roman" w:eastAsia="宋体"/>
          <w:b/>
          <w:sz w:val="24"/>
          <w:szCs w:val="24"/>
        </w:rPr>
      </w:pPr>
      <w:r>
        <w:rPr>
          <w:rFonts w:ascii="Times New Roman" w:hAnsi="Times New Roman" w:eastAsia="宋体"/>
          <w:b/>
          <w:sz w:val="24"/>
          <w:szCs w:val="24"/>
        </w:rPr>
        <w:br w:type="page"/>
      </w:r>
    </w:p>
    <w:p>
      <w:pPr>
        <w:keepNext w:val="0"/>
        <w:keepLines w:val="0"/>
        <w:pageBreakBefore w:val="0"/>
        <w:widowControl w:val="0"/>
        <w:numPr>
          <w:ilvl w:val="0"/>
          <w:numId w:val="0"/>
        </w:numPr>
        <w:kinsoku/>
        <w:wordWrap/>
        <w:topLinePunct w:val="0"/>
        <w:autoSpaceDE/>
        <w:autoSpaceDN/>
        <w:bidi w:val="0"/>
        <w:spacing w:line="360" w:lineRule="auto"/>
        <w:jc w:val="center"/>
        <w:rPr>
          <w:rFonts w:ascii="Times New Roman" w:hAnsi="Times New Roman" w:eastAsia="宋体" w:cs="宋体"/>
          <w:b/>
          <w:sz w:val="24"/>
          <w:szCs w:val="24"/>
        </w:rPr>
      </w:pPr>
      <w:r>
        <w:rPr>
          <w:rFonts w:hint="eastAsia" w:ascii="Times New Roman" w:hAnsi="Times New Roman" w:eastAsia="宋体" w:cs="宋体"/>
          <w:b/>
          <w:sz w:val="24"/>
          <w:szCs w:val="24"/>
          <w:lang w:val="en-US" w:eastAsia="zh-CN"/>
        </w:rPr>
        <w:t>9、</w:t>
      </w:r>
      <w:r>
        <w:rPr>
          <w:rFonts w:hint="eastAsia" w:ascii="Times New Roman" w:hAnsi="Times New Roman" w:eastAsia="宋体" w:cs="宋体"/>
          <w:b/>
          <w:sz w:val="24"/>
          <w:szCs w:val="24"/>
        </w:rPr>
        <w:t>磋商响应报价明细表</w:t>
      </w:r>
    </w:p>
    <w:p>
      <w:pPr>
        <w:keepNext w:val="0"/>
        <w:keepLines w:val="0"/>
        <w:pageBreakBefore w:val="0"/>
        <w:widowControl w:val="0"/>
        <w:kinsoku/>
        <w:wordWrap/>
        <w:topLinePunct w:val="0"/>
        <w:autoSpaceDE/>
        <w:autoSpaceDN/>
        <w:bidi w:val="0"/>
        <w:spacing w:line="360" w:lineRule="auto"/>
        <w:jc w:val="left"/>
        <w:rPr>
          <w:rFonts w:ascii="Times New Roman" w:hAnsi="Times New Roman" w:eastAsia="宋体"/>
        </w:rPr>
      </w:pPr>
      <w:r>
        <w:rPr>
          <w:rFonts w:hint="eastAsia" w:ascii="Times New Roman" w:hAnsi="Times New Roman" w:eastAsia="宋体" w:cs="宋体"/>
          <w:sz w:val="24"/>
          <w:szCs w:val="24"/>
        </w:rPr>
        <w:t>项目名称：</w:t>
      </w:r>
      <w:r>
        <w:rPr>
          <w:rFonts w:hint="eastAsia" w:ascii="Times New Roman" w:hAnsi="Times New Roman" w:eastAsia="宋体"/>
          <w:sz w:val="24"/>
          <w:szCs w:val="24"/>
          <w:lang w:eastAsia="zh-CN"/>
        </w:rPr>
        <w:t>南通市第三人民医院多学科会诊平台项目</w:t>
      </w:r>
    </w:p>
    <w:p>
      <w:pPr>
        <w:keepNext w:val="0"/>
        <w:keepLines w:val="0"/>
        <w:pageBreakBefore w:val="0"/>
        <w:widowControl w:val="0"/>
        <w:kinsoku/>
        <w:wordWrap/>
        <w:topLinePunct w:val="0"/>
        <w:autoSpaceDE/>
        <w:autoSpaceDN/>
        <w:bidi w:val="0"/>
        <w:spacing w:line="360" w:lineRule="auto"/>
        <w:jc w:val="left"/>
        <w:rPr>
          <w:rFonts w:ascii="Times New Roman" w:hAnsi="Times New Roman" w:eastAsia="宋体"/>
        </w:rPr>
      </w:pPr>
    </w:p>
    <w:p>
      <w:pPr>
        <w:keepNext w:val="0"/>
        <w:keepLines w:val="0"/>
        <w:pageBreakBefore w:val="0"/>
        <w:widowControl w:val="0"/>
        <w:kinsoku/>
        <w:wordWrap/>
        <w:topLinePunct w:val="0"/>
        <w:autoSpaceDE/>
        <w:autoSpaceDN/>
        <w:bidi w:val="0"/>
        <w:spacing w:line="360" w:lineRule="auto"/>
        <w:jc w:val="center"/>
        <w:rPr>
          <w:rFonts w:ascii="Times New Roman" w:hAnsi="Times New Roman" w:eastAsia="宋体" w:cs="宋体"/>
          <w:sz w:val="24"/>
          <w:szCs w:val="24"/>
        </w:rPr>
      </w:pPr>
      <w:r>
        <w:rPr>
          <w:rFonts w:hint="eastAsia" w:ascii="Times New Roman" w:hAnsi="Times New Roman" w:eastAsia="宋体" w:cs="宋体"/>
          <w:sz w:val="24"/>
          <w:szCs w:val="24"/>
        </w:rPr>
        <w:t>格式自拟</w:t>
      </w:r>
    </w:p>
    <w:p>
      <w:pPr>
        <w:keepNext w:val="0"/>
        <w:keepLines w:val="0"/>
        <w:pageBreakBefore w:val="0"/>
        <w:widowControl w:val="0"/>
        <w:kinsoku/>
        <w:wordWrap/>
        <w:topLinePunct w:val="0"/>
        <w:autoSpaceDE/>
        <w:autoSpaceDN/>
        <w:bidi w:val="0"/>
        <w:spacing w:line="360" w:lineRule="auto"/>
      </w:pPr>
    </w:p>
    <w:p>
      <w:pPr>
        <w:pStyle w:val="9"/>
        <w:keepNext w:val="0"/>
        <w:keepLines w:val="0"/>
        <w:pageBreakBefore w:val="0"/>
        <w:widowControl w:val="0"/>
        <w:kinsoku/>
        <w:wordWrap/>
        <w:topLinePunct w:val="0"/>
        <w:autoSpaceDE/>
        <w:autoSpaceDN/>
        <w:bidi w:val="0"/>
        <w:spacing w:line="360" w:lineRule="auto"/>
      </w:pPr>
    </w:p>
    <w:p>
      <w:pPr>
        <w:keepNext w:val="0"/>
        <w:keepLines w:val="0"/>
        <w:pageBreakBefore w:val="0"/>
        <w:widowControl w:val="0"/>
        <w:kinsoku/>
        <w:wordWrap/>
        <w:topLinePunct w:val="0"/>
        <w:autoSpaceDE/>
        <w:autoSpaceDN/>
        <w:bidi w:val="0"/>
        <w:spacing w:line="360" w:lineRule="auto"/>
        <w:jc w:val="left"/>
        <w:textAlignment w:val="baseline"/>
        <w:rPr>
          <w:rFonts w:ascii="Times New Roman" w:hAnsi="Times New Roman" w:eastAsia="宋体"/>
          <w:sz w:val="24"/>
          <w:szCs w:val="24"/>
        </w:rPr>
      </w:pPr>
      <w:r>
        <w:rPr>
          <w:rFonts w:hint="eastAsia" w:ascii="Times New Roman" w:hAnsi="Times New Roman" w:eastAsia="宋体"/>
          <w:sz w:val="24"/>
          <w:szCs w:val="24"/>
        </w:rPr>
        <w:t>竞争性磋商响应单位：（加盖公章）</w:t>
      </w: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sz w:val="24"/>
          <w:szCs w:val="24"/>
        </w:rPr>
      </w:pPr>
      <w:r>
        <w:rPr>
          <w:rFonts w:hint="eastAsia" w:ascii="Times New Roman" w:hAnsi="Times New Roman" w:eastAsia="宋体"/>
          <w:sz w:val="24"/>
          <w:szCs w:val="24"/>
        </w:rPr>
        <w:t>法定代表人：（签字或盖章）</w:t>
      </w:r>
    </w:p>
    <w:p>
      <w:pPr>
        <w:pStyle w:val="12"/>
        <w:keepNext w:val="0"/>
        <w:keepLines w:val="0"/>
        <w:pageBreakBefore w:val="0"/>
        <w:widowControl w:val="0"/>
        <w:kinsoku/>
        <w:wordWrap/>
        <w:topLinePunct w:val="0"/>
        <w:autoSpaceDE/>
        <w:autoSpaceDN/>
        <w:bidi w:val="0"/>
        <w:spacing w:line="360" w:lineRule="auto"/>
        <w:ind w:left="0" w:firstLine="600" w:firstLineChars="250"/>
        <w:jc w:val="left"/>
        <w:textAlignment w:val="baseline"/>
        <w:rPr>
          <w:rFonts w:ascii="Times New Roman" w:hAnsi="Times New Roman" w:cs="宋体"/>
          <w:b/>
          <w:bCs/>
          <w:sz w:val="24"/>
          <w:szCs w:val="24"/>
        </w:rPr>
      </w:pPr>
      <w:r>
        <w:rPr>
          <w:rFonts w:hint="eastAsia" w:ascii="Times New Roman" w:hAnsi="Times New Roman" w:cs="宋体"/>
          <w:sz w:val="24"/>
          <w:szCs w:val="24"/>
        </w:rPr>
        <w:t>年月日</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bCs/>
          <w:sz w:val="24"/>
          <w:szCs w:val="24"/>
        </w:rPr>
      </w:pPr>
      <w:r>
        <w:rPr>
          <w:rFonts w:hint="eastAsia" w:ascii="Times New Roman" w:hAnsi="Times New Roman" w:eastAsia="宋体"/>
          <w:bCs/>
          <w:sz w:val="24"/>
          <w:szCs w:val="24"/>
        </w:rPr>
        <w:t>注：1、本项目报价已包括完成本项目所需的一切费用，完成本项目所需的一切费用，</w:t>
      </w:r>
      <w:r>
        <w:rPr>
          <w:rFonts w:hint="eastAsia" w:ascii="宋体" w:hAnsi="宋体" w:eastAsia="宋体"/>
          <w:bCs/>
          <w:sz w:val="24"/>
          <w:szCs w:val="24"/>
          <w:lang w:eastAsia="zh-CN"/>
        </w:rPr>
        <w:t>包含但不限于</w:t>
      </w:r>
      <w:r>
        <w:rPr>
          <w:rFonts w:hint="eastAsia" w:ascii="宋体" w:hAnsi="宋体"/>
          <w:bCs/>
          <w:sz w:val="24"/>
          <w:szCs w:val="24"/>
        </w:rPr>
        <w:t>服务的成本、利润、税金、开办费、政策性调整风险费等的所有费用；人工费、检测费、管理费；国家税务部门规定的各项税金；相关伴随服务以及售后服务等一切费用</w:t>
      </w:r>
      <w:r>
        <w:rPr>
          <w:rFonts w:hint="eastAsia" w:ascii="Times New Roman" w:hAnsi="Times New Roman" w:eastAsia="宋体"/>
          <w:bCs/>
          <w:sz w:val="24"/>
          <w:szCs w:val="24"/>
        </w:rPr>
        <w:t>。同时，报价也包含了合同履行过程中可能发生的一切风险。</w:t>
      </w:r>
    </w:p>
    <w:p>
      <w:pPr>
        <w:keepNext w:val="0"/>
        <w:keepLines w:val="0"/>
        <w:pageBreakBefore w:val="0"/>
        <w:widowControl w:val="0"/>
        <w:kinsoku/>
        <w:wordWrap/>
        <w:topLinePunct w:val="0"/>
        <w:autoSpaceDE/>
        <w:autoSpaceDN/>
        <w:bidi w:val="0"/>
        <w:spacing w:line="360" w:lineRule="auto"/>
        <w:ind w:firstLine="482" w:firstLineChars="200"/>
        <w:rPr>
          <w:rFonts w:hint="eastAsia" w:ascii="Times New Roman" w:hAnsi="Times New Roman" w:eastAsia="宋体"/>
          <w:b/>
          <w:bCs/>
          <w:sz w:val="24"/>
          <w:szCs w:val="24"/>
        </w:rPr>
      </w:pPr>
      <w:r>
        <w:rPr>
          <w:rFonts w:hint="eastAsia" w:ascii="Times New Roman" w:hAnsi="Times New Roman" w:eastAsia="宋体"/>
          <w:b/>
          <w:bCs/>
          <w:sz w:val="24"/>
          <w:szCs w:val="24"/>
        </w:rPr>
        <w:t>2、报价明细表总价金额应当与首次报价表金额相等，且第二次报价时，磋商响应报价明细表按同比例下浮。</w:t>
      </w:r>
    </w:p>
    <w:p>
      <w:pPr>
        <w:keepNext w:val="0"/>
        <w:keepLines w:val="0"/>
        <w:pageBreakBefore w:val="0"/>
        <w:widowControl w:val="0"/>
        <w:kinsoku/>
        <w:wordWrap/>
        <w:topLinePunct w:val="0"/>
        <w:autoSpaceDE/>
        <w:autoSpaceDN/>
        <w:bidi w:val="0"/>
        <w:spacing w:line="360" w:lineRule="auto"/>
        <w:rPr>
          <w:rFonts w:hint="eastAsia" w:ascii="Times New Roman" w:hAnsi="Times New Roman" w:eastAsia="宋体"/>
          <w:b/>
          <w:bCs/>
          <w:sz w:val="24"/>
          <w:szCs w:val="24"/>
        </w:rPr>
      </w:pPr>
      <w:r>
        <w:rPr>
          <w:rFonts w:hint="eastAsia" w:ascii="Times New Roman" w:hAnsi="Times New Roman" w:eastAsia="宋体"/>
          <w:b/>
          <w:bCs/>
          <w:sz w:val="24"/>
          <w:szCs w:val="24"/>
        </w:rPr>
        <w:br w:type="page"/>
      </w:r>
    </w:p>
    <w:p>
      <w:pPr>
        <w:widowControl/>
        <w:spacing w:line="360" w:lineRule="auto"/>
        <w:jc w:val="center"/>
        <w:rPr>
          <w:rFonts w:ascii="Times New Roman" w:hAnsi="Times New Roman"/>
          <w:b/>
          <w:sz w:val="24"/>
          <w:szCs w:val="24"/>
        </w:rPr>
      </w:pPr>
      <w:r>
        <w:rPr>
          <w:rFonts w:hint="eastAsia" w:ascii="Times New Roman" w:hAnsi="Times New Roman"/>
          <w:b/>
          <w:sz w:val="24"/>
          <w:szCs w:val="24"/>
          <w:lang w:val="en-US" w:eastAsia="zh-CN"/>
        </w:rPr>
        <w:t>10</w:t>
      </w:r>
      <w:r>
        <w:rPr>
          <w:rFonts w:hint="eastAsia" w:ascii="Times New Roman" w:hAnsi="Times New Roman"/>
          <w:b/>
          <w:sz w:val="24"/>
          <w:szCs w:val="24"/>
        </w:rPr>
        <w:t>、中小企业声明函（货物）</w:t>
      </w:r>
    </w:p>
    <w:p>
      <w:pPr>
        <w:spacing w:line="360" w:lineRule="auto"/>
        <w:ind w:firstLine="480"/>
        <w:outlineLvl w:val="0"/>
        <w:rPr>
          <w:rFonts w:hint="eastAsia" w:ascii="宋体" w:hAnsi="宋体" w:cs="宋体"/>
          <w:sz w:val="24"/>
          <w:szCs w:val="28"/>
          <w:lang w:bidi="zh-CN"/>
        </w:rPr>
      </w:pPr>
      <w:r>
        <w:rPr>
          <w:rFonts w:hint="eastAsia" w:ascii="宋体" w:hAnsi="宋体" w:cs="宋体"/>
          <w:sz w:val="24"/>
          <w:szCs w:val="28"/>
          <w:lang w:bidi="zh-CN"/>
        </w:rPr>
        <w:t>本公司(联合体)郑重声明,根据《政府采购促进中小企业发展管理办法》财库(2020]46 号)的规定,本公司(联合体)参加</w:t>
      </w:r>
      <w:r>
        <w:rPr>
          <w:rFonts w:hint="eastAsia" w:ascii="宋体" w:hAnsi="宋体" w:cs="宋体"/>
          <w:sz w:val="24"/>
          <w:szCs w:val="28"/>
          <w:u w:val="single"/>
          <w:lang w:bidi="zh-CN"/>
        </w:rPr>
        <w:t>(单位名称)</w:t>
      </w:r>
      <w:r>
        <w:rPr>
          <w:rFonts w:hint="eastAsia" w:ascii="宋体" w:hAnsi="宋体" w:cs="宋体"/>
          <w:sz w:val="24"/>
          <w:szCs w:val="28"/>
          <w:lang w:bidi="zh-CN"/>
        </w:rPr>
        <w:t>的</w:t>
      </w:r>
      <w:r>
        <w:rPr>
          <w:rFonts w:hint="eastAsia" w:ascii="宋体" w:hAnsi="宋体" w:cs="宋体"/>
          <w:sz w:val="24"/>
          <w:szCs w:val="28"/>
          <w:u w:val="single"/>
          <w:lang w:bidi="zh-CN"/>
        </w:rPr>
        <w:t>(项目名称)</w:t>
      </w:r>
      <w:r>
        <w:rPr>
          <w:rFonts w:hint="eastAsia" w:ascii="宋体" w:hAnsi="宋体" w:cs="宋体"/>
          <w:sz w:val="24"/>
          <w:szCs w:val="28"/>
          <w:lang w:bidi="zh-CN"/>
        </w:rPr>
        <w:t>采购活动,提供的货物全部由符合政策要求的中小企业制造。相关企业(含联合体中的中小企业、签订分包意向协议的中小企业)的具体情况如下：</w:t>
      </w:r>
    </w:p>
    <w:p>
      <w:pPr>
        <w:numPr>
          <w:ilvl w:val="0"/>
          <w:numId w:val="1"/>
        </w:numPr>
        <w:spacing w:line="360" w:lineRule="auto"/>
        <w:ind w:firstLine="480"/>
        <w:jc w:val="left"/>
        <w:outlineLvl w:val="0"/>
        <w:rPr>
          <w:rFonts w:hint="eastAsia" w:ascii="宋体" w:hAnsi="宋体" w:cs="宋体"/>
          <w:sz w:val="24"/>
          <w:szCs w:val="28"/>
          <w:lang w:bidi="zh-CN"/>
        </w:rPr>
      </w:pPr>
      <w:r>
        <w:rPr>
          <w:rFonts w:hint="eastAsia" w:ascii="宋体" w:hAnsi="宋体" w:cs="宋体"/>
          <w:sz w:val="24"/>
          <w:szCs w:val="28"/>
          <w:u w:val="single"/>
          <w:lang w:bidi="zh-CN"/>
        </w:rPr>
        <w:t>(标的名称)</w:t>
      </w:r>
      <w:r>
        <w:rPr>
          <w:rFonts w:hint="eastAsia" w:ascii="宋体" w:hAnsi="宋体" w:cs="宋体"/>
          <w:sz w:val="24"/>
          <w:szCs w:val="28"/>
          <w:lang w:bidi="zh-CN"/>
        </w:rPr>
        <w:t>,属于</w:t>
      </w:r>
      <w:r>
        <w:rPr>
          <w:rFonts w:hint="eastAsia" w:ascii="宋体" w:hAnsi="宋体" w:cs="宋体"/>
          <w:sz w:val="24"/>
          <w:szCs w:val="28"/>
          <w:u w:val="single"/>
          <w:lang w:bidi="zh-CN"/>
        </w:rPr>
        <w:t>(采购文件中明确的所属行业)行业</w:t>
      </w:r>
      <w:r>
        <w:rPr>
          <w:rFonts w:hint="eastAsia" w:ascii="宋体" w:hAnsi="宋体" w:cs="宋体"/>
          <w:sz w:val="24"/>
          <w:szCs w:val="28"/>
          <w:lang w:bidi="zh-CN"/>
        </w:rPr>
        <w:t>;制造商为</w:t>
      </w:r>
      <w:r>
        <w:rPr>
          <w:rFonts w:hint="eastAsia" w:ascii="宋体" w:hAnsi="宋体" w:cs="宋体"/>
          <w:sz w:val="24"/>
          <w:szCs w:val="28"/>
          <w:u w:val="single"/>
          <w:lang w:bidi="zh-CN"/>
        </w:rPr>
        <w:t>（企业名称)</w:t>
      </w:r>
      <w:r>
        <w:rPr>
          <w:rFonts w:hint="eastAsia" w:ascii="宋体" w:hAnsi="宋体" w:cs="宋体"/>
          <w:sz w:val="24"/>
          <w:szCs w:val="28"/>
          <w:lang w:bidi="zh-CN"/>
        </w:rPr>
        <w:t>，从业人员</w:t>
      </w:r>
      <w:r>
        <w:rPr>
          <w:rFonts w:hint="eastAsia" w:ascii="宋体" w:hAnsi="宋体" w:cs="宋体"/>
          <w:sz w:val="24"/>
          <w:szCs w:val="28"/>
          <w:u w:val="single"/>
          <w:lang w:bidi="zh-CN"/>
        </w:rPr>
        <w:t xml:space="preserve">    </w:t>
      </w:r>
      <w:r>
        <w:rPr>
          <w:rFonts w:hint="eastAsia" w:ascii="宋体" w:hAnsi="宋体" w:cs="宋体"/>
          <w:sz w:val="24"/>
          <w:szCs w:val="28"/>
          <w:lang w:bidi="zh-CN"/>
        </w:rPr>
        <w:t>人,营业收入为</w:t>
      </w:r>
      <w:r>
        <w:rPr>
          <w:rFonts w:hint="eastAsia" w:ascii="宋体" w:hAnsi="宋体" w:cs="宋体"/>
          <w:sz w:val="24"/>
          <w:szCs w:val="28"/>
          <w:u w:val="single"/>
          <w:lang w:bidi="zh-CN"/>
        </w:rPr>
        <w:t xml:space="preserve">     </w:t>
      </w:r>
      <w:r>
        <w:rPr>
          <w:rFonts w:hint="eastAsia" w:ascii="宋体" w:hAnsi="宋体" w:cs="宋体"/>
          <w:sz w:val="24"/>
          <w:szCs w:val="28"/>
          <w:lang w:bidi="zh-CN"/>
        </w:rPr>
        <w:t>万元,资产总额为</w:t>
      </w:r>
      <w:r>
        <w:rPr>
          <w:rFonts w:hint="eastAsia" w:ascii="宋体" w:hAnsi="宋体" w:cs="宋体"/>
          <w:sz w:val="24"/>
          <w:szCs w:val="28"/>
          <w:u w:val="single"/>
          <w:lang w:bidi="zh-CN"/>
        </w:rPr>
        <w:t xml:space="preserve">       </w:t>
      </w:r>
      <w:r>
        <w:rPr>
          <w:rFonts w:hint="eastAsia" w:ascii="宋体" w:hAnsi="宋体" w:cs="宋体"/>
          <w:sz w:val="24"/>
          <w:szCs w:val="28"/>
          <w:lang w:bidi="zh-CN"/>
        </w:rPr>
        <w:t>万元,属于(中型企业、小型企业、微型企业)，</w:t>
      </w:r>
    </w:p>
    <w:p>
      <w:pPr>
        <w:numPr>
          <w:ilvl w:val="0"/>
          <w:numId w:val="1"/>
        </w:numPr>
        <w:spacing w:line="360" w:lineRule="auto"/>
        <w:ind w:firstLine="480"/>
        <w:jc w:val="left"/>
        <w:outlineLvl w:val="0"/>
        <w:rPr>
          <w:rFonts w:hint="eastAsia" w:ascii="宋体" w:hAnsi="宋体" w:cs="宋体"/>
          <w:sz w:val="24"/>
          <w:szCs w:val="28"/>
          <w:lang w:bidi="zh-CN"/>
        </w:rPr>
      </w:pPr>
      <w:r>
        <w:rPr>
          <w:rFonts w:hint="eastAsia" w:ascii="宋体" w:hAnsi="宋体" w:cs="宋体"/>
          <w:sz w:val="24"/>
          <w:szCs w:val="28"/>
          <w:u w:val="single"/>
          <w:lang w:bidi="zh-CN"/>
        </w:rPr>
        <w:t xml:space="preserve">(标的名称) </w:t>
      </w:r>
      <w:r>
        <w:rPr>
          <w:rFonts w:hint="eastAsia" w:ascii="宋体" w:hAnsi="宋体" w:cs="宋体"/>
          <w:sz w:val="24"/>
          <w:szCs w:val="28"/>
          <w:lang w:bidi="zh-CN"/>
        </w:rPr>
        <w:t>,属于</w:t>
      </w:r>
      <w:r>
        <w:rPr>
          <w:rFonts w:hint="eastAsia" w:ascii="宋体" w:hAnsi="宋体" w:cs="宋体"/>
          <w:sz w:val="24"/>
          <w:szCs w:val="28"/>
          <w:u w:val="single"/>
          <w:lang w:bidi="zh-CN"/>
        </w:rPr>
        <w:t>(采购文件中明确的所属行业)行业</w:t>
      </w:r>
      <w:r>
        <w:rPr>
          <w:rFonts w:hint="eastAsia" w:ascii="宋体" w:hAnsi="宋体" w:cs="宋体"/>
          <w:sz w:val="24"/>
          <w:szCs w:val="28"/>
          <w:lang w:bidi="zh-CN"/>
        </w:rPr>
        <w:t>;制造商为</w:t>
      </w:r>
      <w:r>
        <w:rPr>
          <w:rFonts w:hint="eastAsia" w:ascii="宋体" w:hAnsi="宋体" w:cs="宋体"/>
          <w:sz w:val="24"/>
          <w:szCs w:val="28"/>
          <w:u w:val="single"/>
          <w:lang w:bidi="zh-CN"/>
        </w:rPr>
        <w:t xml:space="preserve">(企业名称) </w:t>
      </w:r>
      <w:r>
        <w:rPr>
          <w:rFonts w:hint="eastAsia" w:ascii="宋体" w:hAnsi="宋体" w:cs="宋体"/>
          <w:sz w:val="24"/>
          <w:szCs w:val="28"/>
          <w:lang w:bidi="zh-CN"/>
        </w:rPr>
        <w:t>，从业人员</w:t>
      </w:r>
      <w:r>
        <w:rPr>
          <w:rFonts w:hint="eastAsia" w:ascii="宋体" w:hAnsi="宋体" w:cs="宋体"/>
          <w:sz w:val="24"/>
          <w:szCs w:val="28"/>
          <w:u w:val="single"/>
          <w:lang w:bidi="zh-CN"/>
        </w:rPr>
        <w:t xml:space="preserve">     </w:t>
      </w:r>
      <w:r>
        <w:rPr>
          <w:rFonts w:hint="eastAsia" w:ascii="宋体" w:hAnsi="宋体" w:cs="宋体"/>
          <w:sz w:val="24"/>
          <w:szCs w:val="28"/>
          <w:lang w:bidi="zh-CN"/>
        </w:rPr>
        <w:t>人,营业收入为</w:t>
      </w:r>
      <w:r>
        <w:rPr>
          <w:rFonts w:hint="eastAsia" w:ascii="宋体" w:hAnsi="宋体" w:cs="宋体"/>
          <w:sz w:val="24"/>
          <w:szCs w:val="28"/>
          <w:u w:val="single"/>
          <w:lang w:bidi="zh-CN"/>
        </w:rPr>
        <w:t xml:space="preserve">     </w:t>
      </w:r>
      <w:r>
        <w:rPr>
          <w:rFonts w:hint="eastAsia" w:ascii="宋体" w:hAnsi="宋体" w:cs="宋体"/>
          <w:sz w:val="24"/>
          <w:szCs w:val="28"/>
          <w:lang w:bidi="zh-CN"/>
        </w:rPr>
        <w:t>万元，资产总额为</w:t>
      </w:r>
      <w:r>
        <w:rPr>
          <w:rFonts w:hint="eastAsia" w:ascii="宋体" w:hAnsi="宋体" w:cs="宋体"/>
          <w:sz w:val="24"/>
          <w:szCs w:val="28"/>
          <w:u w:val="single"/>
          <w:lang w:bidi="zh-CN"/>
        </w:rPr>
        <w:t xml:space="preserve">     </w:t>
      </w:r>
      <w:r>
        <w:rPr>
          <w:rFonts w:hint="eastAsia" w:ascii="宋体" w:hAnsi="宋体" w:cs="宋体"/>
          <w:sz w:val="24"/>
          <w:szCs w:val="28"/>
          <w:lang w:bidi="zh-CN"/>
        </w:rPr>
        <w:t>万元,属于</w:t>
      </w:r>
      <w:r>
        <w:rPr>
          <w:rFonts w:hint="eastAsia" w:ascii="宋体" w:hAnsi="宋体" w:cs="宋体"/>
          <w:sz w:val="24"/>
          <w:szCs w:val="28"/>
          <w:u w:val="single"/>
          <w:lang w:bidi="zh-CN"/>
        </w:rPr>
        <w:t>(中型企业、小型企业、微型企业)</w:t>
      </w:r>
      <w:r>
        <w:rPr>
          <w:rFonts w:hint="eastAsia" w:ascii="宋体" w:hAnsi="宋体" w:cs="宋体"/>
          <w:sz w:val="24"/>
          <w:szCs w:val="28"/>
          <w:lang w:bidi="zh-CN"/>
        </w:rPr>
        <w:t>，</w:t>
      </w:r>
    </w:p>
    <w:p>
      <w:pPr>
        <w:spacing w:line="360" w:lineRule="auto"/>
        <w:ind w:firstLine="480"/>
        <w:jc w:val="left"/>
        <w:outlineLvl w:val="0"/>
        <w:rPr>
          <w:rFonts w:hint="eastAsia" w:ascii="宋体" w:hAnsi="宋体" w:cs="宋体"/>
          <w:sz w:val="24"/>
          <w:szCs w:val="28"/>
          <w:lang w:bidi="zh-CN"/>
        </w:rPr>
      </w:pPr>
      <w:r>
        <w:rPr>
          <w:rFonts w:hint="eastAsia" w:ascii="宋体" w:hAnsi="宋体" w:cs="宋体"/>
          <w:sz w:val="24"/>
          <w:szCs w:val="28"/>
          <w:lang w:bidi="zh-CN"/>
        </w:rPr>
        <w:t>……</w:t>
      </w:r>
    </w:p>
    <w:p>
      <w:pPr>
        <w:spacing w:line="360" w:lineRule="auto"/>
        <w:ind w:firstLine="480"/>
        <w:outlineLvl w:val="0"/>
        <w:rPr>
          <w:rFonts w:hint="eastAsia" w:ascii="宋体" w:hAnsi="宋体" w:cs="宋体"/>
          <w:sz w:val="24"/>
          <w:szCs w:val="28"/>
          <w:lang w:bidi="zh-CN"/>
        </w:rPr>
      </w:pPr>
      <w:r>
        <w:rPr>
          <w:rFonts w:hint="eastAsia" w:ascii="宋体" w:hAnsi="宋体" w:cs="宋体"/>
          <w:sz w:val="24"/>
          <w:szCs w:val="28"/>
          <w:lang w:bidi="zh-CN"/>
        </w:rPr>
        <w:t>以上企业，不属于大企业的分支机构，不存在控股股东为大企业的情形，也不存在与大企业的负责人为同一人的情形。</w:t>
      </w:r>
    </w:p>
    <w:p>
      <w:pPr>
        <w:spacing w:line="360" w:lineRule="auto"/>
        <w:ind w:firstLine="480"/>
        <w:outlineLvl w:val="0"/>
        <w:rPr>
          <w:rFonts w:hint="eastAsia" w:ascii="宋体" w:hAnsi="宋体" w:cs="宋体"/>
          <w:sz w:val="24"/>
          <w:szCs w:val="28"/>
          <w:lang w:bidi="zh-CN"/>
        </w:rPr>
      </w:pPr>
      <w:r>
        <w:rPr>
          <w:rFonts w:hint="eastAsia" w:ascii="宋体" w:hAnsi="宋体" w:cs="宋体"/>
          <w:sz w:val="24"/>
          <w:szCs w:val="28"/>
          <w:lang w:bidi="zh-CN"/>
        </w:rPr>
        <w:t>本企业对上述声明内容的真实性负责。如有虚假，将依法承担相应责任。</w:t>
      </w:r>
    </w:p>
    <w:p>
      <w:pPr>
        <w:spacing w:line="300" w:lineRule="auto"/>
        <w:outlineLvl w:val="0"/>
        <w:rPr>
          <w:rFonts w:hint="eastAsia" w:ascii="宋体" w:hAnsi="宋体" w:cs="宋体"/>
          <w:sz w:val="24"/>
          <w:szCs w:val="28"/>
          <w:lang w:bidi="zh-CN"/>
        </w:rPr>
      </w:pPr>
    </w:p>
    <w:p>
      <w:pPr>
        <w:spacing w:line="300" w:lineRule="auto"/>
        <w:outlineLvl w:val="0"/>
        <w:rPr>
          <w:rFonts w:hint="eastAsia" w:ascii="宋体" w:hAnsi="宋体" w:cs="宋体"/>
          <w:sz w:val="24"/>
          <w:szCs w:val="28"/>
          <w:lang w:bidi="zh-CN"/>
        </w:rPr>
      </w:pPr>
    </w:p>
    <w:p>
      <w:pPr>
        <w:spacing w:line="300" w:lineRule="auto"/>
        <w:outlineLvl w:val="0"/>
        <w:rPr>
          <w:rFonts w:hint="eastAsia" w:ascii="宋体" w:hAnsi="宋体" w:cs="宋体"/>
          <w:sz w:val="24"/>
          <w:szCs w:val="28"/>
          <w:lang w:bidi="zh-CN"/>
        </w:rPr>
      </w:pPr>
    </w:p>
    <w:p>
      <w:pPr>
        <w:spacing w:line="300" w:lineRule="auto"/>
        <w:ind w:firstLine="4200"/>
        <w:jc w:val="center"/>
        <w:outlineLvl w:val="0"/>
        <w:rPr>
          <w:rFonts w:hint="eastAsia" w:ascii="宋体" w:hAnsi="宋体" w:cs="宋体"/>
          <w:sz w:val="24"/>
          <w:szCs w:val="28"/>
          <w:lang w:bidi="zh-CN"/>
        </w:rPr>
      </w:pPr>
      <w:r>
        <w:rPr>
          <w:rFonts w:hint="eastAsia" w:ascii="宋体" w:hAnsi="宋体" w:cs="宋体"/>
          <w:sz w:val="24"/>
          <w:szCs w:val="28"/>
          <w:lang w:bidi="zh-CN"/>
        </w:rPr>
        <w:t>企业名称（盖章）：</w:t>
      </w:r>
    </w:p>
    <w:p>
      <w:pPr>
        <w:spacing w:line="300" w:lineRule="auto"/>
        <w:ind w:firstLine="5760"/>
        <w:outlineLvl w:val="0"/>
        <w:rPr>
          <w:rFonts w:hint="eastAsia" w:ascii="宋体" w:hAnsi="宋体" w:cs="宋体"/>
          <w:sz w:val="24"/>
          <w:szCs w:val="28"/>
          <w:lang w:bidi="zh-CN"/>
        </w:rPr>
      </w:pPr>
      <w:r>
        <w:rPr>
          <w:rFonts w:hint="eastAsia" w:ascii="宋体" w:hAnsi="宋体" w:cs="宋体"/>
          <w:sz w:val="24"/>
          <w:szCs w:val="28"/>
          <w:lang w:bidi="zh-CN"/>
        </w:rPr>
        <w:t>日 期：</w:t>
      </w:r>
    </w:p>
    <w:p>
      <w:pPr>
        <w:pStyle w:val="37"/>
        <w:rPr>
          <w:rFonts w:hint="eastAsia"/>
          <w:lang w:eastAsia="zh-CN"/>
        </w:rPr>
      </w:pPr>
    </w:p>
    <w:p>
      <w:pPr>
        <w:spacing w:line="360" w:lineRule="auto"/>
        <w:ind w:right="561"/>
        <w:rPr>
          <w:rFonts w:ascii="Times New Roman" w:hAnsi="Times New Roman"/>
          <w:sz w:val="24"/>
          <w:szCs w:val="21"/>
        </w:rPr>
      </w:pPr>
      <w:r>
        <w:rPr>
          <w:rFonts w:hint="eastAsia" w:ascii="Times New Roman" w:hAnsi="Times New Roman"/>
          <w:sz w:val="24"/>
          <w:szCs w:val="21"/>
        </w:rPr>
        <w:t>注1：从业人员、营业收入、资产总额填报上一年度数据，无上一年度数据的新成立企业可不填报。</w:t>
      </w:r>
    </w:p>
    <w:p>
      <w:pPr>
        <w:spacing w:line="480" w:lineRule="auto"/>
        <w:ind w:firstLine="1320"/>
        <w:jc w:val="right"/>
        <w:rPr>
          <w:rFonts w:ascii="Times New Roman" w:hAnsi="Times New Roman" w:cs="宋体"/>
          <w:sz w:val="24"/>
          <w:szCs w:val="24"/>
        </w:rPr>
      </w:pPr>
    </w:p>
    <w:p>
      <w:pPr>
        <w:spacing w:line="360" w:lineRule="auto"/>
        <w:jc w:val="center"/>
        <w:rPr>
          <w:rFonts w:hint="eastAsia" w:ascii="Times New Roman" w:hAnsi="Times New Roman" w:cs="Calibri"/>
          <w:b/>
          <w:szCs w:val="21"/>
        </w:rPr>
      </w:pPr>
      <w:r>
        <w:rPr>
          <w:rFonts w:ascii="Times New Roman" w:hAnsi="Times New Roman" w:cs="宋体"/>
          <w:b/>
          <w:bCs/>
          <w:sz w:val="24"/>
          <w:szCs w:val="24"/>
        </w:rPr>
        <w:br w:type="page" w:clear="all"/>
      </w:r>
      <w:r>
        <w:rPr>
          <w:rFonts w:hint="eastAsia" w:ascii="Times New Roman" w:hAnsi="Times New Roman" w:cs="宋体"/>
          <w:b/>
          <w:bCs/>
          <w:sz w:val="24"/>
          <w:szCs w:val="24"/>
          <w:lang w:val="en-US" w:eastAsia="zh-CN"/>
        </w:rPr>
        <w:t>11</w:t>
      </w:r>
      <w:r>
        <w:rPr>
          <w:rFonts w:hint="eastAsia" w:ascii="Times New Roman" w:hAnsi="Times New Roman" w:cs="宋体"/>
          <w:b/>
          <w:bCs/>
          <w:sz w:val="24"/>
          <w:szCs w:val="24"/>
        </w:rPr>
        <w:t>、</w:t>
      </w:r>
      <w:r>
        <w:rPr>
          <w:rFonts w:hint="eastAsia" w:ascii="Times New Roman" w:hAnsi="Times New Roman"/>
          <w:b/>
          <w:bCs/>
          <w:sz w:val="24"/>
          <w:szCs w:val="21"/>
        </w:rPr>
        <w:t>残疾人福利性单位声明函</w:t>
      </w:r>
    </w:p>
    <w:p>
      <w:pPr>
        <w:spacing w:line="360" w:lineRule="auto"/>
        <w:ind w:firstLine="480"/>
        <w:rPr>
          <w:rFonts w:hint="eastAsia" w:ascii="Times New Roman" w:hAnsi="Times New Roman" w:cs="宋体"/>
          <w:sz w:val="24"/>
          <w:szCs w:val="21"/>
        </w:rPr>
      </w:pPr>
      <w:r>
        <w:rPr>
          <w:rFonts w:hint="eastAsia" w:ascii="Times New Roman" w:hAnsi="Times New Roman" w:cs="宋体"/>
          <w:sz w:val="24"/>
          <w:szCs w:val="21"/>
        </w:rPr>
        <w:t>本单位郑重声明，根据《财政部民政部中国残疾人联合会关于促进残疾人就业政府采购政策的通知》（财库〔2017〕141号）的规定，本单位为符合条件的残疾人福利性单位，且本单位参加______单位的采购文件编号为______的</w:t>
      </w:r>
      <w:r>
        <w:rPr>
          <w:rFonts w:hint="eastAsia" w:ascii="Times New Roman" w:hAnsi="Times New Roman" w:cs="宋体"/>
          <w:sz w:val="24"/>
          <w:szCs w:val="21"/>
          <w:u w:val="single"/>
        </w:rPr>
        <w:t xml:space="preserve">       </w:t>
      </w:r>
      <w:r>
        <w:rPr>
          <w:rFonts w:hint="eastAsia" w:ascii="Times New Roman" w:hAnsi="Times New Roman" w:cs="宋体"/>
          <w:sz w:val="24"/>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rPr>
          <w:rFonts w:hint="eastAsia" w:ascii="Times New Roman" w:hAnsi="Times New Roman" w:cs="宋体"/>
          <w:sz w:val="24"/>
          <w:szCs w:val="21"/>
        </w:rPr>
      </w:pPr>
      <w:r>
        <w:rPr>
          <w:rFonts w:hint="eastAsia" w:ascii="Times New Roman" w:hAnsi="Times New Roman" w:cs="宋体"/>
          <w:sz w:val="24"/>
          <w:szCs w:val="21"/>
        </w:rPr>
        <w:t>本单位在本次政府采购活动中提供的残疾人福利单位产品报价合计为人民币（大写）</w:t>
      </w:r>
      <w:r>
        <w:rPr>
          <w:rFonts w:hint="eastAsia" w:ascii="Times New Roman" w:hAnsi="Times New Roman" w:cs="宋体"/>
          <w:sz w:val="24"/>
          <w:szCs w:val="21"/>
          <w:u w:val="single"/>
        </w:rPr>
        <w:t xml:space="preserve">      </w:t>
      </w:r>
      <w:r>
        <w:rPr>
          <w:rFonts w:hint="eastAsia" w:ascii="Times New Roman" w:hAnsi="Times New Roman" w:cs="宋体"/>
          <w:sz w:val="24"/>
          <w:szCs w:val="21"/>
        </w:rPr>
        <w:t>圆整（￥：     ）。</w:t>
      </w:r>
    </w:p>
    <w:p>
      <w:pPr>
        <w:spacing w:line="360" w:lineRule="auto"/>
        <w:ind w:firstLine="480"/>
        <w:rPr>
          <w:rFonts w:hint="eastAsia" w:ascii="Times New Roman" w:hAnsi="Times New Roman" w:cs="宋体"/>
          <w:sz w:val="24"/>
          <w:szCs w:val="21"/>
        </w:rPr>
      </w:pPr>
      <w:r>
        <w:rPr>
          <w:rFonts w:hint="eastAsia" w:ascii="Times New Roman" w:hAnsi="Times New Roman" w:cs="宋体"/>
          <w:sz w:val="24"/>
          <w:szCs w:val="21"/>
        </w:rPr>
        <w:t>本单位对上述声明的真实性负责。如有虚假，将依法承担相应责任。</w:t>
      </w:r>
    </w:p>
    <w:p>
      <w:pPr>
        <w:spacing w:line="360" w:lineRule="auto"/>
        <w:ind w:firstLine="480"/>
        <w:rPr>
          <w:rFonts w:hint="eastAsia" w:ascii="Times New Roman" w:hAnsi="Times New Roman" w:cs="宋体"/>
          <w:sz w:val="24"/>
          <w:szCs w:val="21"/>
        </w:rPr>
      </w:pPr>
      <w:r>
        <w:rPr>
          <w:rFonts w:hint="eastAsia" w:ascii="Times New Roman" w:hAnsi="Times New Roman" w:cs="宋体"/>
          <w:sz w:val="24"/>
          <w:szCs w:val="21"/>
        </w:rPr>
        <w:t>（备注：成交供应商为残疾人福利单位的，此声明函将随成交结果同时公告，接受社会监督）</w:t>
      </w:r>
    </w:p>
    <w:p>
      <w:pPr>
        <w:spacing w:line="360" w:lineRule="auto"/>
        <w:ind w:firstLine="624"/>
        <w:rPr>
          <w:rFonts w:hint="eastAsia" w:ascii="Times New Roman" w:hAnsi="Times New Roman" w:cs="宋体"/>
          <w:spacing w:val="6"/>
          <w:sz w:val="30"/>
          <w:szCs w:val="30"/>
        </w:rPr>
      </w:pPr>
    </w:p>
    <w:p>
      <w:pPr>
        <w:tabs>
          <w:tab w:val="left" w:pos="4860"/>
        </w:tabs>
        <w:spacing w:line="360" w:lineRule="auto"/>
        <w:ind w:firstLine="624"/>
        <w:jc w:val="center"/>
        <w:rPr>
          <w:rFonts w:hint="eastAsia" w:ascii="Times New Roman" w:hAnsi="Times New Roman" w:cs="宋体"/>
          <w:sz w:val="24"/>
          <w:szCs w:val="21"/>
        </w:rPr>
      </w:pPr>
      <w:r>
        <w:rPr>
          <w:rFonts w:hint="eastAsia" w:ascii="Times New Roman" w:hAnsi="Times New Roman" w:cs="宋体"/>
          <w:spacing w:val="6"/>
          <w:sz w:val="30"/>
          <w:szCs w:val="30"/>
        </w:rPr>
        <w:t xml:space="preserve">      </w:t>
      </w:r>
      <w:r>
        <w:rPr>
          <w:rFonts w:hint="eastAsia" w:ascii="Times New Roman" w:hAnsi="Times New Roman" w:cs="宋体"/>
          <w:sz w:val="24"/>
          <w:szCs w:val="21"/>
        </w:rPr>
        <w:t xml:space="preserve">                     供应商全称（盖章）：</w:t>
      </w:r>
    </w:p>
    <w:p>
      <w:pPr>
        <w:tabs>
          <w:tab w:val="left" w:pos="4860"/>
        </w:tabs>
        <w:spacing w:line="360" w:lineRule="auto"/>
        <w:ind w:firstLine="480"/>
        <w:jc w:val="center"/>
        <w:rPr>
          <w:rFonts w:hint="eastAsia" w:ascii="Times New Roman" w:hAnsi="Times New Roman" w:cs="宋体"/>
          <w:sz w:val="24"/>
          <w:szCs w:val="21"/>
        </w:rPr>
      </w:pPr>
      <w:r>
        <w:rPr>
          <w:rFonts w:hint="eastAsia" w:ascii="Times New Roman" w:hAnsi="Times New Roman" w:cs="宋体"/>
          <w:sz w:val="24"/>
          <w:szCs w:val="21"/>
        </w:rPr>
        <w:t xml:space="preserve">                              日  期：</w:t>
      </w:r>
    </w:p>
    <w:p>
      <w:pPr>
        <w:shd w:val="clear" w:color="auto" w:fill="FFFFFF"/>
        <w:spacing w:line="360" w:lineRule="auto"/>
        <w:jc w:val="left"/>
        <w:rPr>
          <w:rFonts w:hint="eastAsia" w:ascii="Times New Roman" w:hAnsi="Times New Roman" w:cs="宋体"/>
          <w:sz w:val="24"/>
          <w:szCs w:val="21"/>
        </w:rPr>
      </w:pPr>
    </w:p>
    <w:p>
      <w:pPr>
        <w:shd w:val="clear" w:color="auto" w:fill="FFFFFF"/>
        <w:spacing w:line="360" w:lineRule="auto"/>
        <w:jc w:val="left"/>
        <w:rPr>
          <w:rFonts w:hint="eastAsia" w:ascii="Times New Roman" w:hAnsi="Times New Roman" w:cs="宋体"/>
          <w:sz w:val="24"/>
          <w:szCs w:val="21"/>
        </w:rPr>
      </w:pPr>
      <w:r>
        <w:rPr>
          <w:rFonts w:hint="eastAsia" w:ascii="Times New Roman" w:hAnsi="Times New Roman" w:cs="宋体"/>
          <w:sz w:val="24"/>
          <w:szCs w:val="21"/>
        </w:rPr>
        <w:t>享受政府采购支持政策的残疾人福利性单位应当同时满足以下条件：</w:t>
      </w:r>
    </w:p>
    <w:p>
      <w:pPr>
        <w:shd w:val="clear" w:color="auto" w:fill="FFFFFF"/>
        <w:spacing w:line="360" w:lineRule="auto"/>
        <w:jc w:val="left"/>
        <w:rPr>
          <w:rFonts w:hint="eastAsia" w:ascii="Times New Roman" w:hAnsi="Times New Roman" w:cs="宋体"/>
          <w:sz w:val="24"/>
          <w:szCs w:val="21"/>
        </w:rPr>
      </w:pPr>
      <w:r>
        <w:rPr>
          <w:rFonts w:hint="eastAsia" w:ascii="Times New Roman" w:hAnsi="Times New Roman" w:cs="宋体"/>
          <w:sz w:val="24"/>
          <w:szCs w:val="21"/>
        </w:rPr>
        <w:t>　　（一）安置的残疾人占本单位在职职工人数的比例不低于25%（含25%），并且安置的残疾人人数不少于10人（含10人）；</w:t>
      </w:r>
    </w:p>
    <w:p>
      <w:pPr>
        <w:shd w:val="clear" w:color="auto" w:fill="FFFFFF"/>
        <w:spacing w:line="360" w:lineRule="auto"/>
        <w:jc w:val="left"/>
        <w:rPr>
          <w:rFonts w:hint="eastAsia" w:ascii="Times New Roman" w:hAnsi="Times New Roman" w:cs="宋体"/>
          <w:sz w:val="24"/>
          <w:szCs w:val="21"/>
        </w:rPr>
      </w:pPr>
      <w:r>
        <w:rPr>
          <w:rFonts w:hint="eastAsia" w:ascii="Times New Roman" w:hAnsi="Times New Roman" w:cs="宋体"/>
          <w:sz w:val="24"/>
          <w:szCs w:val="21"/>
        </w:rPr>
        <w:t>　　（二）依法与安置的每位残疾人签订了一年以上（含一年）的劳动合同或服务协议；</w:t>
      </w:r>
    </w:p>
    <w:p>
      <w:pPr>
        <w:shd w:val="clear" w:color="auto" w:fill="FFFFFF"/>
        <w:spacing w:line="360" w:lineRule="auto"/>
        <w:jc w:val="left"/>
        <w:rPr>
          <w:rFonts w:hint="eastAsia" w:ascii="Times New Roman" w:hAnsi="Times New Roman" w:cs="宋体"/>
          <w:sz w:val="24"/>
          <w:szCs w:val="21"/>
        </w:rPr>
      </w:pPr>
      <w:r>
        <w:rPr>
          <w:rFonts w:hint="eastAsia" w:ascii="Times New Roman" w:hAnsi="Times New Roman" w:cs="宋体"/>
          <w:sz w:val="24"/>
          <w:szCs w:val="21"/>
        </w:rPr>
        <w:t>　　（三）为安置的每位残疾人按月足额缴纳了基本养老保险、基本医疗保险、失业保险、工伤保险和生育保险等社会保险费；</w:t>
      </w:r>
    </w:p>
    <w:p>
      <w:pPr>
        <w:shd w:val="clear" w:color="auto" w:fill="FFFFFF"/>
        <w:spacing w:line="360" w:lineRule="auto"/>
        <w:jc w:val="left"/>
        <w:rPr>
          <w:rFonts w:hint="eastAsia" w:ascii="Times New Roman" w:hAnsi="Times New Roman" w:cs="宋体"/>
          <w:sz w:val="24"/>
          <w:szCs w:val="21"/>
        </w:rPr>
      </w:pPr>
      <w:r>
        <w:rPr>
          <w:rFonts w:hint="eastAsia" w:ascii="Times New Roman" w:hAnsi="Times New Roman" w:cs="宋体"/>
          <w:sz w:val="24"/>
          <w:szCs w:val="21"/>
        </w:rPr>
        <w:t>　　（四）通过银行等金融机构向安置的每位残疾人，按月支付了不低于单位所在区县适用的经省级人民政府批准的月最低工资标准的工资；</w:t>
      </w:r>
    </w:p>
    <w:p>
      <w:pPr>
        <w:shd w:val="clear" w:color="auto" w:fill="FFFFFF"/>
        <w:spacing w:line="360" w:lineRule="auto"/>
        <w:jc w:val="left"/>
        <w:rPr>
          <w:rFonts w:hint="eastAsia" w:ascii="Times New Roman" w:hAnsi="Times New Roman" w:cs="宋体"/>
          <w:sz w:val="24"/>
          <w:szCs w:val="21"/>
        </w:rPr>
      </w:pPr>
      <w:r>
        <w:rPr>
          <w:rFonts w:hint="eastAsia" w:ascii="Times New Roman" w:hAnsi="Times New Roman" w:cs="宋体"/>
          <w:sz w:val="24"/>
          <w:szCs w:val="21"/>
        </w:rPr>
        <w:t>　　（五）提供本单位制造的货物、承担的工程或者服务（以下简称产品），或者提供其他残疾人福利性单位制造的货物（不包括使用非残疾人福利性单位注册商标的货物）。</w:t>
      </w:r>
    </w:p>
    <w:p>
      <w:pPr>
        <w:shd w:val="clear" w:color="auto" w:fill="FFFFFF"/>
        <w:spacing w:line="360" w:lineRule="auto"/>
        <w:ind w:firstLine="480"/>
        <w:jc w:val="left"/>
        <w:rPr>
          <w:rFonts w:hint="eastAsia" w:ascii="Times New Roman" w:hAnsi="Times New Roman" w:cs="宋体"/>
          <w:sz w:val="24"/>
          <w:szCs w:val="21"/>
        </w:rPr>
      </w:pPr>
      <w:r>
        <w:rPr>
          <w:rFonts w:hint="eastAsia" w:ascii="Times New Roman" w:hAnsi="Times New Roman" w:cs="宋体"/>
          <w:sz w:val="24"/>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560" w:lineRule="exact"/>
        <w:ind w:firstLine="211"/>
        <w:jc w:val="center"/>
        <w:rPr>
          <w:rFonts w:ascii="Times New Roman" w:hAnsi="Times New Roman" w:cs="宋体"/>
          <w:b/>
          <w:bCs/>
          <w:szCs w:val="21"/>
        </w:rPr>
      </w:pPr>
      <w:r>
        <w:rPr>
          <w:rFonts w:hint="eastAsia" w:ascii="Times New Roman" w:hAnsi="Times New Roman" w:cs="宋体"/>
          <w:b/>
          <w:bCs/>
          <w:szCs w:val="21"/>
        </w:rPr>
        <w:t xml:space="preserve"> </w:t>
      </w:r>
    </w:p>
    <w:p>
      <w:pPr>
        <w:spacing w:line="360" w:lineRule="auto"/>
        <w:jc w:val="center"/>
        <w:rPr>
          <w:rFonts w:hint="eastAsia" w:ascii="Times New Roman" w:hAnsi="Times New Roman"/>
          <w:b/>
          <w:bCs/>
          <w:sz w:val="24"/>
          <w:szCs w:val="21"/>
        </w:rPr>
      </w:pPr>
      <w:r>
        <w:rPr>
          <w:szCs w:val="21"/>
        </w:rPr>
        <w:br w:type="page" w:clear="all"/>
      </w:r>
      <w:r>
        <w:rPr>
          <w:rFonts w:hint="eastAsia" w:ascii="Times New Roman" w:hAnsi="Times New Roman"/>
          <w:b/>
          <w:bCs/>
          <w:sz w:val="24"/>
          <w:szCs w:val="21"/>
          <w:lang w:val="en-US" w:eastAsia="zh-CN"/>
        </w:rPr>
        <w:t>12</w:t>
      </w:r>
      <w:r>
        <w:rPr>
          <w:rFonts w:hint="eastAsia" w:ascii="Times New Roman" w:hAnsi="Times New Roman"/>
          <w:b/>
          <w:bCs/>
          <w:sz w:val="24"/>
          <w:szCs w:val="21"/>
        </w:rPr>
        <w:t>、监狱企业证明函</w:t>
      </w:r>
    </w:p>
    <w:p>
      <w:pPr>
        <w:widowControl/>
        <w:spacing w:line="360" w:lineRule="auto"/>
        <w:ind w:firstLine="646"/>
        <w:jc w:val="left"/>
        <w:rPr>
          <w:rFonts w:hint="eastAsia" w:ascii="Times New Roman" w:hAnsi="Times New Roman" w:cs="宋体"/>
          <w:sz w:val="24"/>
          <w:szCs w:val="21"/>
        </w:rPr>
      </w:pPr>
      <w:r>
        <w:rPr>
          <w:rFonts w:hint="eastAsia" w:ascii="Times New Roman" w:hAnsi="Times New Roman" w:cs="宋体"/>
          <w:sz w:val="24"/>
          <w:szCs w:val="21"/>
          <w:lang w:bidi="ar"/>
        </w:rPr>
        <w:t>根据《财政部 司法部关于政府采购支持监狱企业发展有关问题的通知》（财库[2014]68号）的规定，          （填写供应商法定全称）为监狱企业。</w:t>
      </w:r>
    </w:p>
    <w:p>
      <w:pPr>
        <w:widowControl/>
        <w:spacing w:line="360" w:lineRule="auto"/>
        <w:ind w:firstLine="646"/>
        <w:jc w:val="left"/>
        <w:rPr>
          <w:rFonts w:hint="eastAsia" w:ascii="Times New Roman" w:hAnsi="Times New Roman" w:cs="宋体"/>
          <w:sz w:val="24"/>
          <w:szCs w:val="21"/>
        </w:rPr>
      </w:pPr>
      <w:r>
        <w:rPr>
          <w:rFonts w:hint="eastAsia" w:ascii="Times New Roman" w:hAnsi="Times New Roman" w:cs="宋体"/>
          <w:sz w:val="24"/>
          <w:szCs w:val="21"/>
          <w:lang w:bidi="ar"/>
        </w:rPr>
        <w:t>特此声明。</w:t>
      </w:r>
    </w:p>
    <w:p>
      <w:pPr>
        <w:widowControl/>
        <w:spacing w:line="360" w:lineRule="auto"/>
        <w:ind w:firstLine="1440"/>
        <w:jc w:val="left"/>
        <w:rPr>
          <w:rFonts w:hint="eastAsia" w:ascii="Times New Roman" w:hAnsi="Times New Roman" w:cs="宋体"/>
          <w:sz w:val="24"/>
          <w:szCs w:val="21"/>
        </w:rPr>
      </w:pPr>
    </w:p>
    <w:p>
      <w:pPr>
        <w:widowControl/>
        <w:spacing w:line="360" w:lineRule="auto"/>
        <w:ind w:firstLine="1440"/>
        <w:jc w:val="left"/>
        <w:rPr>
          <w:rFonts w:hint="eastAsia" w:ascii="Times New Roman" w:hAnsi="Times New Roman" w:cs="宋体"/>
          <w:sz w:val="24"/>
          <w:szCs w:val="21"/>
        </w:rPr>
      </w:pPr>
      <w:r>
        <w:rPr>
          <w:rFonts w:hint="eastAsia" w:ascii="Times New Roman" w:hAnsi="Times New Roman" w:cs="宋体"/>
          <w:sz w:val="24"/>
          <w:szCs w:val="21"/>
          <w:lang w:bidi="ar"/>
        </w:rPr>
        <w:t>省级以上监狱管理局、戒毒管理局（含新疆生产建设兵团）（盖章）：</w:t>
      </w:r>
    </w:p>
    <w:p>
      <w:pPr>
        <w:widowControl/>
        <w:jc w:val="left"/>
        <w:rPr>
          <w:rFonts w:ascii="Times New Roman" w:hAnsi="Times New Roman" w:cs="宋体"/>
          <w:b/>
          <w:bCs/>
          <w:sz w:val="24"/>
          <w:szCs w:val="24"/>
        </w:rPr>
      </w:pPr>
      <w:r>
        <w:rPr>
          <w:rFonts w:hint="eastAsia" w:ascii="Times New Roman" w:hAnsi="Times New Roman" w:cs="宋体"/>
          <w:sz w:val="24"/>
          <w:szCs w:val="21"/>
          <w:lang w:bidi="ar"/>
        </w:rPr>
        <w:t xml:space="preserve">                                    日  期：</w:t>
      </w:r>
    </w:p>
    <w:p>
      <w:pPr>
        <w:rPr>
          <w:rFonts w:hint="eastAsia" w:ascii="宋体" w:hAnsi="宋体" w:eastAsia="宋体" w:cs="宋体"/>
          <w:sz w:val="24"/>
          <w:szCs w:val="24"/>
          <w:lang w:bidi="zh-CN"/>
        </w:rPr>
      </w:pPr>
    </w:p>
    <w:p>
      <w:pPr>
        <w:rPr>
          <w:rFonts w:hint="eastAsia" w:ascii="宋体" w:hAnsi="宋体" w:eastAsia="宋体" w:cs="宋体"/>
          <w:sz w:val="24"/>
          <w:szCs w:val="24"/>
          <w:lang w:bidi="zh-CN"/>
        </w:rPr>
      </w:pPr>
      <w:r>
        <w:rPr>
          <w:rFonts w:hint="eastAsia" w:ascii="宋体" w:hAnsi="宋体" w:eastAsia="宋体" w:cs="宋体"/>
          <w:sz w:val="24"/>
          <w:szCs w:val="24"/>
          <w:lang w:bidi="zh-CN"/>
        </w:rPr>
        <w:br w:type="page"/>
      </w:r>
    </w:p>
    <w:p>
      <w:pPr>
        <w:pStyle w:val="19"/>
        <w:keepNext w:val="0"/>
        <w:keepLines w:val="0"/>
        <w:pageBreakBefore w:val="0"/>
        <w:widowControl w:val="0"/>
        <w:shd w:val="clear" w:color="auto" w:fill="FFFFFF"/>
        <w:kinsoku/>
        <w:wordWrap/>
        <w:topLinePunct w:val="0"/>
        <w:autoSpaceDE/>
        <w:autoSpaceDN/>
        <w:bidi w:val="0"/>
        <w:spacing w:before="0" w:beforeAutospacing="0" w:after="0" w:afterAutospacing="0" w:line="360" w:lineRule="auto"/>
        <w:textAlignment w:val="baseline"/>
        <w:rPr>
          <w:rFonts w:hint="eastAsia" w:ascii="宋体" w:hAnsi="宋体" w:eastAsia="宋体" w:cs="宋体"/>
          <w:kern w:val="2"/>
          <w:szCs w:val="24"/>
        </w:rPr>
      </w:pPr>
      <w:r>
        <w:rPr>
          <w:rFonts w:hint="eastAsia" w:ascii="宋体" w:hAnsi="宋体" w:eastAsia="宋体" w:cs="宋体"/>
          <w:sz w:val="24"/>
          <w:szCs w:val="24"/>
          <w:lang w:bidi="zh-CN"/>
        </w:rPr>
        <w:t>附件：</w:t>
      </w:r>
    </w:p>
    <w:p>
      <w:pPr>
        <w:pStyle w:val="19"/>
        <w:keepNext w:val="0"/>
        <w:keepLines w:val="0"/>
        <w:pageBreakBefore w:val="0"/>
        <w:widowControl w:val="0"/>
        <w:shd w:val="clear" w:color="auto" w:fill="FFFFFF"/>
        <w:kinsoku/>
        <w:wordWrap/>
        <w:topLinePunct w:val="0"/>
        <w:autoSpaceDE/>
        <w:autoSpaceDN/>
        <w:bidi w:val="0"/>
        <w:spacing w:before="0" w:beforeAutospacing="0" w:after="0" w:afterAutospacing="0" w:line="360" w:lineRule="auto"/>
        <w:ind w:firstLine="482" w:firstLineChars="200"/>
        <w:jc w:val="center"/>
        <w:textAlignment w:val="baseline"/>
        <w:rPr>
          <w:rFonts w:hint="eastAsia" w:ascii="宋体" w:hAnsi="宋体" w:eastAsia="宋体" w:cs="宋体"/>
        </w:rPr>
      </w:pPr>
      <w:r>
        <w:rPr>
          <w:rFonts w:hint="eastAsia" w:ascii="宋体" w:hAnsi="宋体" w:eastAsia="宋体" w:cs="宋体"/>
          <w:b/>
          <w:kern w:val="2"/>
          <w:szCs w:val="24"/>
        </w:rPr>
        <w:t>中小企业划型标准规定</w:t>
      </w:r>
    </w:p>
    <w:p>
      <w:pPr>
        <w:keepNext w:val="0"/>
        <w:keepLines w:val="0"/>
        <w:pageBreakBefore w:val="0"/>
        <w:widowControl w:val="0"/>
        <w:kinsoku/>
        <w:wordWrap/>
        <w:topLinePunct w:val="0"/>
        <w:autoSpaceDE/>
        <w:autoSpaceDN/>
        <w:bidi w:val="0"/>
        <w:spacing w:line="360" w:lineRule="auto"/>
        <w:ind w:firstLine="480" w:firstLineChars="200"/>
        <w:rPr>
          <w:rFonts w:hint="eastAsia" w:ascii="宋体" w:hAnsi="宋体" w:eastAsia="宋体" w:cs="宋体"/>
          <w:sz w:val="24"/>
        </w:rPr>
      </w:pPr>
      <w:r>
        <w:rPr>
          <w:rFonts w:hint="eastAsia" w:ascii="宋体" w:hAnsi="宋体" w:eastAsia="宋体" w:cs="宋体"/>
          <w:sz w:val="24"/>
        </w:rPr>
        <w:t>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keepNext w:val="0"/>
        <w:keepLines w:val="0"/>
        <w:pageBreakBefore w:val="0"/>
        <w:widowControl w:val="0"/>
        <w:kinsoku/>
        <w:wordWrap/>
        <w:topLinePunct w:val="0"/>
        <w:autoSpaceDE/>
        <w:autoSpaceDN/>
        <w:bidi w:val="0"/>
        <w:spacing w:line="360" w:lineRule="auto"/>
        <w:ind w:firstLine="480" w:firstLineChars="200"/>
        <w:rPr>
          <w:rFonts w:hint="eastAsia" w:ascii="宋体" w:hAnsi="宋体" w:eastAsia="宋体" w:cs="宋体"/>
          <w:sz w:val="24"/>
        </w:rPr>
      </w:pPr>
      <w:r>
        <w:rPr>
          <w:rFonts w:hint="eastAsia" w:ascii="宋体" w:hAnsi="宋体" w:eastAsia="宋体" w:cs="宋体"/>
          <w:sz w:val="24"/>
        </w:rPr>
        <w:t>各行业划型标准为：</w:t>
      </w:r>
    </w:p>
    <w:p>
      <w:pPr>
        <w:keepNext w:val="0"/>
        <w:keepLines w:val="0"/>
        <w:pageBreakBefore w:val="0"/>
        <w:widowControl w:val="0"/>
        <w:kinsoku/>
        <w:wordWrap/>
        <w:topLinePunct w:val="0"/>
        <w:autoSpaceDE/>
        <w:autoSpaceDN/>
        <w:bidi w:val="0"/>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（一）农、林、牧、渔业。营业收入20000万元以下的为中小微型企业。其中，营业收入500万元及以上的为中型企业，营业收入50万元及以上的为小型企业，营业收入50万元以下的为微型企业。</w:t>
      </w:r>
    </w:p>
    <w:p>
      <w:pPr>
        <w:keepNext w:val="0"/>
        <w:keepLines w:val="0"/>
        <w:pageBreakBefore w:val="0"/>
        <w:widowControl w:val="0"/>
        <w:kinsoku/>
        <w:wordWrap/>
        <w:topLinePunct w:val="0"/>
        <w:autoSpaceDE/>
        <w:autoSpaceDN/>
        <w:bidi w:val="0"/>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keepNext w:val="0"/>
        <w:keepLines w:val="0"/>
        <w:pageBreakBefore w:val="0"/>
        <w:widowControl w:val="0"/>
        <w:kinsoku/>
        <w:wordWrap/>
        <w:topLinePunct w:val="0"/>
        <w:autoSpaceDE/>
        <w:autoSpaceDN/>
        <w:bidi w:val="0"/>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keepNext w:val="0"/>
        <w:keepLines w:val="0"/>
        <w:pageBreakBefore w:val="0"/>
        <w:widowControl w:val="0"/>
        <w:kinsoku/>
        <w:wordWrap/>
        <w:topLinePunct w:val="0"/>
        <w:autoSpaceDE/>
        <w:autoSpaceDN/>
        <w:bidi w:val="0"/>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keepNext w:val="0"/>
        <w:keepLines w:val="0"/>
        <w:pageBreakBefore w:val="0"/>
        <w:widowControl w:val="0"/>
        <w:kinsoku/>
        <w:wordWrap/>
        <w:topLinePunct w:val="0"/>
        <w:autoSpaceDE/>
        <w:autoSpaceDN/>
        <w:bidi w:val="0"/>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keepNext w:val="0"/>
        <w:keepLines w:val="0"/>
        <w:pageBreakBefore w:val="0"/>
        <w:widowControl w:val="0"/>
        <w:kinsoku/>
        <w:wordWrap/>
        <w:topLinePunct w:val="0"/>
        <w:autoSpaceDE/>
        <w:autoSpaceDN/>
        <w:bidi w:val="0"/>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keepNext w:val="0"/>
        <w:keepLines w:val="0"/>
        <w:pageBreakBefore w:val="0"/>
        <w:widowControl w:val="0"/>
        <w:kinsoku/>
        <w:wordWrap/>
        <w:topLinePunct w:val="0"/>
        <w:autoSpaceDE/>
        <w:autoSpaceDN/>
        <w:bidi w:val="0"/>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keepNext w:val="0"/>
        <w:keepLines w:val="0"/>
        <w:pageBreakBefore w:val="0"/>
        <w:widowControl w:val="0"/>
        <w:kinsoku/>
        <w:wordWrap/>
        <w:topLinePunct w:val="0"/>
        <w:autoSpaceDE/>
        <w:autoSpaceDN/>
        <w:bidi w:val="0"/>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keepNext w:val="0"/>
        <w:keepLines w:val="0"/>
        <w:pageBreakBefore w:val="0"/>
        <w:widowControl w:val="0"/>
        <w:kinsoku/>
        <w:wordWrap/>
        <w:topLinePunct w:val="0"/>
        <w:autoSpaceDE/>
        <w:autoSpaceDN/>
        <w:bidi w:val="0"/>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keepNext w:val="0"/>
        <w:keepLines w:val="0"/>
        <w:pageBreakBefore w:val="0"/>
        <w:widowControl w:val="0"/>
        <w:kinsoku/>
        <w:wordWrap/>
        <w:topLinePunct w:val="0"/>
        <w:autoSpaceDE/>
        <w:autoSpaceDN/>
        <w:bidi w:val="0"/>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keepNext w:val="0"/>
        <w:keepLines w:val="0"/>
        <w:pageBreakBefore w:val="0"/>
        <w:widowControl w:val="0"/>
        <w:kinsoku/>
        <w:wordWrap/>
        <w:topLinePunct w:val="0"/>
        <w:autoSpaceDE/>
        <w:autoSpaceDN/>
        <w:bidi w:val="0"/>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keepNext w:val="0"/>
        <w:keepLines w:val="0"/>
        <w:pageBreakBefore w:val="0"/>
        <w:widowControl w:val="0"/>
        <w:kinsoku/>
        <w:wordWrap/>
        <w:topLinePunct w:val="0"/>
        <w:autoSpaceDE/>
        <w:autoSpaceDN/>
        <w:bidi w:val="0"/>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keepNext w:val="0"/>
        <w:keepLines w:val="0"/>
        <w:pageBreakBefore w:val="0"/>
        <w:widowControl w:val="0"/>
        <w:kinsoku/>
        <w:wordWrap/>
        <w:topLinePunct w:val="0"/>
        <w:autoSpaceDE/>
        <w:autoSpaceDN/>
        <w:bidi w:val="0"/>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keepNext w:val="0"/>
        <w:keepLines w:val="0"/>
        <w:pageBreakBefore w:val="0"/>
        <w:widowControl w:val="0"/>
        <w:kinsoku/>
        <w:wordWrap/>
        <w:topLinePunct w:val="0"/>
        <w:autoSpaceDE/>
        <w:autoSpaceDN/>
        <w:bidi w:val="0"/>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keepNext w:val="0"/>
        <w:keepLines w:val="0"/>
        <w:pageBreakBefore w:val="0"/>
        <w:widowControl w:val="0"/>
        <w:kinsoku/>
        <w:wordWrap/>
        <w:topLinePunct w:val="0"/>
        <w:autoSpaceDE/>
        <w:autoSpaceDN/>
        <w:bidi w:val="0"/>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keepNext w:val="0"/>
        <w:keepLines w:val="0"/>
        <w:pageBreakBefore w:val="0"/>
        <w:widowControl w:val="0"/>
        <w:kinsoku/>
        <w:wordWrap/>
        <w:topLinePunct w:val="0"/>
        <w:autoSpaceDE/>
        <w:autoSpaceDN/>
        <w:bidi w:val="0"/>
        <w:spacing w:line="360" w:lineRule="auto"/>
        <w:ind w:firstLine="480" w:firstLineChars="200"/>
        <w:rPr>
          <w:rFonts w:hint="eastAsia" w:ascii="宋体" w:hAnsi="宋体" w:eastAsia="宋体" w:cs="宋体"/>
          <w:sz w:val="24"/>
        </w:rPr>
      </w:pPr>
      <w:r>
        <w:rPr>
          <w:rFonts w:hint="eastAsia" w:ascii="宋体" w:hAnsi="宋体" w:eastAsia="宋体" w:cs="宋体"/>
          <w:sz w:val="24"/>
        </w:rPr>
        <w:t>（十六）其他未列明行业。从业人员300人以下的为中小微型企业。其中，从业人员100人及以上的为中型企业；从业人员10人及以上的为小型企业；从业人员10人以下的为微型企业。</w:t>
      </w:r>
    </w:p>
    <w:p>
      <w:pPr>
        <w:pStyle w:val="37"/>
        <w:keepNext w:val="0"/>
        <w:keepLines w:val="0"/>
        <w:pageBreakBefore w:val="0"/>
        <w:widowControl w:val="0"/>
        <w:kinsoku/>
        <w:wordWrap/>
        <w:topLinePunct w:val="0"/>
        <w:autoSpaceDE/>
        <w:autoSpaceDN/>
        <w:bidi w:val="0"/>
        <w:spacing w:line="360" w:lineRule="auto"/>
      </w:pPr>
    </w:p>
    <w:p>
      <w:pPr>
        <w:keepNext w:val="0"/>
        <w:keepLines w:val="0"/>
        <w:pageBreakBefore w:val="0"/>
        <w:widowControl w:val="0"/>
        <w:kinsoku/>
        <w:wordWrap/>
        <w:topLinePunct w:val="0"/>
        <w:autoSpaceDE/>
        <w:autoSpaceDN/>
        <w:bidi w:val="0"/>
        <w:spacing w:line="360" w:lineRule="auto"/>
        <w:rPr>
          <w:rFonts w:ascii="Times New Roman" w:hAnsi="Times New Roman" w:eastAsia="宋体"/>
        </w:rPr>
      </w:pPr>
    </w:p>
    <w:sectPr>
      <w:footerReference r:id="rId3" w:type="default"/>
      <w:pgSz w:w="11906" w:h="16838"/>
      <w:pgMar w:top="1418" w:right="1588" w:bottom="1418" w:left="1588" w:header="851"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2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A00002BF" w:usb1="68C7FCFB" w:usb2="00000010" w:usb3="00000000" w:csb0="4002009F" w:csb1="DFD7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fldChar w:fldCharType="begin"/>
    </w:r>
    <w:r>
      <w:instrText xml:space="preserve"> PAGE   \* MERGEFORMAT </w:instrText>
    </w:r>
    <w:r>
      <w:fldChar w:fldCharType="separate"/>
    </w:r>
    <w:r>
      <w:rPr>
        <w:lang w:val="zh-CN"/>
      </w:rPr>
      <w:t>1</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1"/>
      <w:numFmt w:val="decimal"/>
      <w:lvlText w:val="%1."/>
      <w:lvlJc w:val="left"/>
      <w:pPr>
        <w:tabs>
          <w:tab w:val="left" w:pos="312"/>
        </w:tabs>
      </w:p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5NzRkNjBkNGM1MDZjMGQ3YmZiMTBjOGQ5ZTk0YjAifQ=="/>
  </w:docVars>
  <w:rsids>
    <w:rsidRoot w:val="0042773D"/>
    <w:rsid w:val="00005621"/>
    <w:rsid w:val="000105F3"/>
    <w:rsid w:val="000116CF"/>
    <w:rsid w:val="00011718"/>
    <w:rsid w:val="00030656"/>
    <w:rsid w:val="0004233B"/>
    <w:rsid w:val="00042E68"/>
    <w:rsid w:val="00045AD0"/>
    <w:rsid w:val="00045B8C"/>
    <w:rsid w:val="00062F66"/>
    <w:rsid w:val="000633EC"/>
    <w:rsid w:val="00066F50"/>
    <w:rsid w:val="0007689C"/>
    <w:rsid w:val="00076D60"/>
    <w:rsid w:val="0009698F"/>
    <w:rsid w:val="000B6C99"/>
    <w:rsid w:val="000D0AEE"/>
    <w:rsid w:val="000D3147"/>
    <w:rsid w:val="000D7335"/>
    <w:rsid w:val="000E2EB7"/>
    <w:rsid w:val="000F0E95"/>
    <w:rsid w:val="000F2D8B"/>
    <w:rsid w:val="000F3E59"/>
    <w:rsid w:val="000F42CA"/>
    <w:rsid w:val="00105B86"/>
    <w:rsid w:val="00111B21"/>
    <w:rsid w:val="00150A42"/>
    <w:rsid w:val="0015616E"/>
    <w:rsid w:val="0015754E"/>
    <w:rsid w:val="0018047F"/>
    <w:rsid w:val="0019545C"/>
    <w:rsid w:val="0019651E"/>
    <w:rsid w:val="001A75C8"/>
    <w:rsid w:val="001B56D8"/>
    <w:rsid w:val="001B7B5D"/>
    <w:rsid w:val="001F4D5A"/>
    <w:rsid w:val="002034D1"/>
    <w:rsid w:val="00203F3E"/>
    <w:rsid w:val="00205384"/>
    <w:rsid w:val="002063EF"/>
    <w:rsid w:val="002064EC"/>
    <w:rsid w:val="00210D4E"/>
    <w:rsid w:val="002219C9"/>
    <w:rsid w:val="00225C90"/>
    <w:rsid w:val="00231ACD"/>
    <w:rsid w:val="00234A6B"/>
    <w:rsid w:val="00236FC4"/>
    <w:rsid w:val="002375BD"/>
    <w:rsid w:val="00240734"/>
    <w:rsid w:val="0024626E"/>
    <w:rsid w:val="002468A6"/>
    <w:rsid w:val="00255AB3"/>
    <w:rsid w:val="002707F5"/>
    <w:rsid w:val="00271A2C"/>
    <w:rsid w:val="00285BC2"/>
    <w:rsid w:val="00286641"/>
    <w:rsid w:val="002A1341"/>
    <w:rsid w:val="002A415D"/>
    <w:rsid w:val="002A6A48"/>
    <w:rsid w:val="002B6511"/>
    <w:rsid w:val="002B7853"/>
    <w:rsid w:val="002C01E3"/>
    <w:rsid w:val="002E0B7C"/>
    <w:rsid w:val="002E1BA8"/>
    <w:rsid w:val="002E40A5"/>
    <w:rsid w:val="002F64D4"/>
    <w:rsid w:val="002F6EFE"/>
    <w:rsid w:val="002F7C52"/>
    <w:rsid w:val="002F7F56"/>
    <w:rsid w:val="003050C3"/>
    <w:rsid w:val="00307FF6"/>
    <w:rsid w:val="00315628"/>
    <w:rsid w:val="00331324"/>
    <w:rsid w:val="00335864"/>
    <w:rsid w:val="00362918"/>
    <w:rsid w:val="00363D22"/>
    <w:rsid w:val="00364AB1"/>
    <w:rsid w:val="00367528"/>
    <w:rsid w:val="003702B5"/>
    <w:rsid w:val="00370501"/>
    <w:rsid w:val="00384F42"/>
    <w:rsid w:val="003A3B0E"/>
    <w:rsid w:val="003A55F0"/>
    <w:rsid w:val="003B571B"/>
    <w:rsid w:val="003C18C2"/>
    <w:rsid w:val="003C3D48"/>
    <w:rsid w:val="003C6028"/>
    <w:rsid w:val="003D4871"/>
    <w:rsid w:val="003D6A6B"/>
    <w:rsid w:val="003E584E"/>
    <w:rsid w:val="003F2A3F"/>
    <w:rsid w:val="00403F33"/>
    <w:rsid w:val="004069DE"/>
    <w:rsid w:val="00414EA1"/>
    <w:rsid w:val="004254FC"/>
    <w:rsid w:val="0042773D"/>
    <w:rsid w:val="00433AC8"/>
    <w:rsid w:val="004413CE"/>
    <w:rsid w:val="00447FFB"/>
    <w:rsid w:val="004527FC"/>
    <w:rsid w:val="00454AC9"/>
    <w:rsid w:val="00462B1F"/>
    <w:rsid w:val="00475EA1"/>
    <w:rsid w:val="004867BB"/>
    <w:rsid w:val="00490ACC"/>
    <w:rsid w:val="004A2D24"/>
    <w:rsid w:val="004A2F36"/>
    <w:rsid w:val="004B122F"/>
    <w:rsid w:val="004B496E"/>
    <w:rsid w:val="004D117D"/>
    <w:rsid w:val="004D5E42"/>
    <w:rsid w:val="005078ED"/>
    <w:rsid w:val="005113A5"/>
    <w:rsid w:val="00576289"/>
    <w:rsid w:val="005841A4"/>
    <w:rsid w:val="005A31EB"/>
    <w:rsid w:val="005C3634"/>
    <w:rsid w:val="005C5B61"/>
    <w:rsid w:val="005D1282"/>
    <w:rsid w:val="005D22F2"/>
    <w:rsid w:val="005D73C6"/>
    <w:rsid w:val="00603E35"/>
    <w:rsid w:val="00606BF2"/>
    <w:rsid w:val="00633A81"/>
    <w:rsid w:val="00645528"/>
    <w:rsid w:val="006543CA"/>
    <w:rsid w:val="006741C9"/>
    <w:rsid w:val="006822D2"/>
    <w:rsid w:val="006902A0"/>
    <w:rsid w:val="00693857"/>
    <w:rsid w:val="00694D70"/>
    <w:rsid w:val="00695A9F"/>
    <w:rsid w:val="006A5E64"/>
    <w:rsid w:val="006B4338"/>
    <w:rsid w:val="006C59BF"/>
    <w:rsid w:val="006D3A4D"/>
    <w:rsid w:val="006D5C68"/>
    <w:rsid w:val="006D7BE8"/>
    <w:rsid w:val="007172D8"/>
    <w:rsid w:val="00734530"/>
    <w:rsid w:val="00744D06"/>
    <w:rsid w:val="00751266"/>
    <w:rsid w:val="0077451C"/>
    <w:rsid w:val="007755C4"/>
    <w:rsid w:val="00777BDC"/>
    <w:rsid w:val="00785C7E"/>
    <w:rsid w:val="007B5ED6"/>
    <w:rsid w:val="007C0266"/>
    <w:rsid w:val="007C52C4"/>
    <w:rsid w:val="007D447F"/>
    <w:rsid w:val="007D4AD9"/>
    <w:rsid w:val="007D501E"/>
    <w:rsid w:val="007D7533"/>
    <w:rsid w:val="007E4882"/>
    <w:rsid w:val="007F782E"/>
    <w:rsid w:val="0082282D"/>
    <w:rsid w:val="008324DA"/>
    <w:rsid w:val="008369E9"/>
    <w:rsid w:val="00881F22"/>
    <w:rsid w:val="00884AF5"/>
    <w:rsid w:val="00891163"/>
    <w:rsid w:val="008913C5"/>
    <w:rsid w:val="008B1772"/>
    <w:rsid w:val="008B53C9"/>
    <w:rsid w:val="008C0188"/>
    <w:rsid w:val="008D5C8C"/>
    <w:rsid w:val="008D7EBD"/>
    <w:rsid w:val="008F46B1"/>
    <w:rsid w:val="008F79F2"/>
    <w:rsid w:val="00905A18"/>
    <w:rsid w:val="00910A22"/>
    <w:rsid w:val="00911A50"/>
    <w:rsid w:val="00927F05"/>
    <w:rsid w:val="009301FE"/>
    <w:rsid w:val="009317AE"/>
    <w:rsid w:val="0094400C"/>
    <w:rsid w:val="00945E72"/>
    <w:rsid w:val="00947D39"/>
    <w:rsid w:val="00951E5B"/>
    <w:rsid w:val="00956F45"/>
    <w:rsid w:val="00967875"/>
    <w:rsid w:val="00975BB0"/>
    <w:rsid w:val="009823DF"/>
    <w:rsid w:val="009948AB"/>
    <w:rsid w:val="0099591F"/>
    <w:rsid w:val="009A4AAF"/>
    <w:rsid w:val="009B0414"/>
    <w:rsid w:val="009D17F8"/>
    <w:rsid w:val="009D3858"/>
    <w:rsid w:val="009D3B57"/>
    <w:rsid w:val="009E025D"/>
    <w:rsid w:val="009F3280"/>
    <w:rsid w:val="00A00280"/>
    <w:rsid w:val="00A00693"/>
    <w:rsid w:val="00A25E3A"/>
    <w:rsid w:val="00A46B05"/>
    <w:rsid w:val="00A65118"/>
    <w:rsid w:val="00A75D59"/>
    <w:rsid w:val="00A775B1"/>
    <w:rsid w:val="00AA53A1"/>
    <w:rsid w:val="00AB3858"/>
    <w:rsid w:val="00AB397A"/>
    <w:rsid w:val="00AC0645"/>
    <w:rsid w:val="00AC1356"/>
    <w:rsid w:val="00AC167D"/>
    <w:rsid w:val="00AD0E54"/>
    <w:rsid w:val="00AE32E5"/>
    <w:rsid w:val="00AF67B7"/>
    <w:rsid w:val="00B06015"/>
    <w:rsid w:val="00B1621D"/>
    <w:rsid w:val="00B24F83"/>
    <w:rsid w:val="00B36A38"/>
    <w:rsid w:val="00B50963"/>
    <w:rsid w:val="00B5131F"/>
    <w:rsid w:val="00B523EC"/>
    <w:rsid w:val="00B54D9A"/>
    <w:rsid w:val="00B555BD"/>
    <w:rsid w:val="00B65DE5"/>
    <w:rsid w:val="00B76D85"/>
    <w:rsid w:val="00B97CDB"/>
    <w:rsid w:val="00BA0DE5"/>
    <w:rsid w:val="00BA502C"/>
    <w:rsid w:val="00BB48A3"/>
    <w:rsid w:val="00BC3246"/>
    <w:rsid w:val="00BC6EEB"/>
    <w:rsid w:val="00C02F17"/>
    <w:rsid w:val="00C047C7"/>
    <w:rsid w:val="00C16047"/>
    <w:rsid w:val="00C4189B"/>
    <w:rsid w:val="00C514FC"/>
    <w:rsid w:val="00C74113"/>
    <w:rsid w:val="00C74551"/>
    <w:rsid w:val="00C87961"/>
    <w:rsid w:val="00C96A7A"/>
    <w:rsid w:val="00CA125B"/>
    <w:rsid w:val="00CA3A6E"/>
    <w:rsid w:val="00CB2559"/>
    <w:rsid w:val="00CC7436"/>
    <w:rsid w:val="00CD1E8F"/>
    <w:rsid w:val="00CF0C61"/>
    <w:rsid w:val="00CF19FE"/>
    <w:rsid w:val="00CF4BAE"/>
    <w:rsid w:val="00D1283C"/>
    <w:rsid w:val="00D14736"/>
    <w:rsid w:val="00D160B0"/>
    <w:rsid w:val="00D259AD"/>
    <w:rsid w:val="00D31ACC"/>
    <w:rsid w:val="00D37953"/>
    <w:rsid w:val="00D520F7"/>
    <w:rsid w:val="00D56C3B"/>
    <w:rsid w:val="00D66756"/>
    <w:rsid w:val="00D82A58"/>
    <w:rsid w:val="00D8401B"/>
    <w:rsid w:val="00D93C52"/>
    <w:rsid w:val="00D977B3"/>
    <w:rsid w:val="00DB6573"/>
    <w:rsid w:val="00DC04E7"/>
    <w:rsid w:val="00DC24D0"/>
    <w:rsid w:val="00DC7ABA"/>
    <w:rsid w:val="00DD1D76"/>
    <w:rsid w:val="00E03D8E"/>
    <w:rsid w:val="00E07EEE"/>
    <w:rsid w:val="00E27373"/>
    <w:rsid w:val="00E86D63"/>
    <w:rsid w:val="00E90F14"/>
    <w:rsid w:val="00E91EDF"/>
    <w:rsid w:val="00EF525C"/>
    <w:rsid w:val="00F02280"/>
    <w:rsid w:val="00F04F82"/>
    <w:rsid w:val="00F1322E"/>
    <w:rsid w:val="00F16606"/>
    <w:rsid w:val="00F357CB"/>
    <w:rsid w:val="00F5137C"/>
    <w:rsid w:val="00F5357B"/>
    <w:rsid w:val="00F5462E"/>
    <w:rsid w:val="00F574E3"/>
    <w:rsid w:val="00F63459"/>
    <w:rsid w:val="00F63B31"/>
    <w:rsid w:val="00F825EC"/>
    <w:rsid w:val="00FA0374"/>
    <w:rsid w:val="00FB003F"/>
    <w:rsid w:val="00FC398C"/>
    <w:rsid w:val="00FD3CFD"/>
    <w:rsid w:val="00FD532E"/>
    <w:rsid w:val="00FD737A"/>
    <w:rsid w:val="00FE35B6"/>
    <w:rsid w:val="00FF3681"/>
    <w:rsid w:val="0232372D"/>
    <w:rsid w:val="03A83A42"/>
    <w:rsid w:val="03E379A2"/>
    <w:rsid w:val="041E22FB"/>
    <w:rsid w:val="0475016D"/>
    <w:rsid w:val="0A5D1C72"/>
    <w:rsid w:val="0A727010"/>
    <w:rsid w:val="0E6C4D9F"/>
    <w:rsid w:val="10E548CC"/>
    <w:rsid w:val="10EF15A7"/>
    <w:rsid w:val="115B540E"/>
    <w:rsid w:val="133E3283"/>
    <w:rsid w:val="139A7BF0"/>
    <w:rsid w:val="14EA7E81"/>
    <w:rsid w:val="151421A8"/>
    <w:rsid w:val="155F3D53"/>
    <w:rsid w:val="157C1E87"/>
    <w:rsid w:val="159468C1"/>
    <w:rsid w:val="15C2217E"/>
    <w:rsid w:val="15F6320B"/>
    <w:rsid w:val="17BF578A"/>
    <w:rsid w:val="18117D55"/>
    <w:rsid w:val="18263421"/>
    <w:rsid w:val="197565C6"/>
    <w:rsid w:val="1E163551"/>
    <w:rsid w:val="1F0C4400"/>
    <w:rsid w:val="1F8E2FE8"/>
    <w:rsid w:val="203A77C4"/>
    <w:rsid w:val="21B43D41"/>
    <w:rsid w:val="224E366C"/>
    <w:rsid w:val="2335285B"/>
    <w:rsid w:val="252E676F"/>
    <w:rsid w:val="272A0E68"/>
    <w:rsid w:val="274D0351"/>
    <w:rsid w:val="27DE22E9"/>
    <w:rsid w:val="28885E11"/>
    <w:rsid w:val="29C97C61"/>
    <w:rsid w:val="2B9F25ED"/>
    <w:rsid w:val="2BD6675A"/>
    <w:rsid w:val="2C5A6960"/>
    <w:rsid w:val="2C6E5A4D"/>
    <w:rsid w:val="2CC8252C"/>
    <w:rsid w:val="2CCE28B7"/>
    <w:rsid w:val="2DD824AC"/>
    <w:rsid w:val="2E672C1C"/>
    <w:rsid w:val="2F837332"/>
    <w:rsid w:val="30A401EF"/>
    <w:rsid w:val="322E658F"/>
    <w:rsid w:val="32593CE2"/>
    <w:rsid w:val="3329796B"/>
    <w:rsid w:val="34700A2F"/>
    <w:rsid w:val="35CB4299"/>
    <w:rsid w:val="36161DCC"/>
    <w:rsid w:val="366867C2"/>
    <w:rsid w:val="38594DC9"/>
    <w:rsid w:val="388D2136"/>
    <w:rsid w:val="3A3E6499"/>
    <w:rsid w:val="3C2C44E9"/>
    <w:rsid w:val="3DA05553"/>
    <w:rsid w:val="3DEA6E32"/>
    <w:rsid w:val="3DF31169"/>
    <w:rsid w:val="3E246184"/>
    <w:rsid w:val="3EF274D2"/>
    <w:rsid w:val="401C35B7"/>
    <w:rsid w:val="40423602"/>
    <w:rsid w:val="42024E02"/>
    <w:rsid w:val="420764B5"/>
    <w:rsid w:val="42672AE3"/>
    <w:rsid w:val="440A15A0"/>
    <w:rsid w:val="448734FB"/>
    <w:rsid w:val="4561465A"/>
    <w:rsid w:val="47693BAF"/>
    <w:rsid w:val="482C45B3"/>
    <w:rsid w:val="486E3206"/>
    <w:rsid w:val="48FE0BAD"/>
    <w:rsid w:val="49727F94"/>
    <w:rsid w:val="49DC3654"/>
    <w:rsid w:val="4B840262"/>
    <w:rsid w:val="4FC139BA"/>
    <w:rsid w:val="53A23A14"/>
    <w:rsid w:val="542A6B2C"/>
    <w:rsid w:val="544F229E"/>
    <w:rsid w:val="55385BD7"/>
    <w:rsid w:val="56E5418D"/>
    <w:rsid w:val="5A4C01FF"/>
    <w:rsid w:val="5A91106B"/>
    <w:rsid w:val="5B02520C"/>
    <w:rsid w:val="5BD91F04"/>
    <w:rsid w:val="5C855626"/>
    <w:rsid w:val="60480F23"/>
    <w:rsid w:val="61946007"/>
    <w:rsid w:val="633D4A8B"/>
    <w:rsid w:val="64191A38"/>
    <w:rsid w:val="64ED5461"/>
    <w:rsid w:val="64FB113D"/>
    <w:rsid w:val="658F2EA6"/>
    <w:rsid w:val="659772A6"/>
    <w:rsid w:val="6742329A"/>
    <w:rsid w:val="675F7512"/>
    <w:rsid w:val="68A31FFC"/>
    <w:rsid w:val="68A84122"/>
    <w:rsid w:val="68AD6BF3"/>
    <w:rsid w:val="696E2E35"/>
    <w:rsid w:val="6A721EA2"/>
    <w:rsid w:val="6C1132E7"/>
    <w:rsid w:val="6D600F61"/>
    <w:rsid w:val="6E9616EC"/>
    <w:rsid w:val="700D0A38"/>
    <w:rsid w:val="707A560C"/>
    <w:rsid w:val="712D5BF6"/>
    <w:rsid w:val="71AD12AD"/>
    <w:rsid w:val="71EA5EF0"/>
    <w:rsid w:val="720C2DA1"/>
    <w:rsid w:val="72BF1288"/>
    <w:rsid w:val="73392B0C"/>
    <w:rsid w:val="762F76F3"/>
    <w:rsid w:val="76876CD5"/>
    <w:rsid w:val="76B22FC1"/>
    <w:rsid w:val="79173AC2"/>
    <w:rsid w:val="798C7570"/>
    <w:rsid w:val="7B85422E"/>
    <w:rsid w:val="7C1A2204"/>
    <w:rsid w:val="7C462374"/>
    <w:rsid w:val="7D5A2578"/>
    <w:rsid w:val="7E633C7C"/>
    <w:rsid w:val="7EFD39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nhideWhenUsed="0"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99" w:semiHidden="0"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3"/>
    <w:autoRedefine/>
    <w:qFormat/>
    <w:uiPriority w:val="0"/>
    <w:pPr>
      <w:keepNext/>
      <w:keepLines/>
      <w:spacing w:before="340" w:after="330" w:line="578" w:lineRule="auto"/>
      <w:outlineLvl w:val="0"/>
    </w:pPr>
    <w:rPr>
      <w:rFonts w:ascii="Calibri" w:hAnsi="Calibri" w:eastAsia="楷体_GB2312" w:cs="Times New Roman"/>
      <w:b/>
      <w:kern w:val="44"/>
      <w:sz w:val="44"/>
      <w:szCs w:val="20"/>
    </w:rPr>
  </w:style>
  <w:style w:type="paragraph" w:styleId="4">
    <w:name w:val="heading 2"/>
    <w:basedOn w:val="1"/>
    <w:next w:val="1"/>
    <w:link w:val="44"/>
    <w:autoRedefine/>
    <w:unhideWhenUsed/>
    <w:qFormat/>
    <w:uiPriority w:val="9"/>
    <w:pPr>
      <w:keepNext/>
      <w:keepLines/>
      <w:spacing w:line="360" w:lineRule="auto"/>
      <w:outlineLvl w:val="1"/>
    </w:pPr>
    <w:rPr>
      <w:rFonts w:asciiTheme="majorHAnsi" w:hAnsiTheme="majorHAnsi" w:eastAsiaTheme="majorEastAsia" w:cstheme="majorBidi"/>
      <w:b/>
      <w:bCs/>
      <w:sz w:val="32"/>
      <w:szCs w:val="32"/>
    </w:rPr>
  </w:style>
  <w:style w:type="paragraph" w:styleId="5">
    <w:name w:val="heading 4"/>
    <w:basedOn w:val="1"/>
    <w:next w:val="1"/>
    <w:autoRedefine/>
    <w:semiHidden/>
    <w:qFormat/>
    <w:uiPriority w:val="9"/>
    <w:pPr>
      <w:keepNext/>
      <w:keepLines/>
      <w:spacing w:before="280" w:after="290" w:line="372" w:lineRule="auto"/>
      <w:outlineLvl w:val="3"/>
    </w:pPr>
    <w:rPr>
      <w:rFonts w:ascii="Cambria" w:hAnsi="Cambria"/>
      <w:b/>
      <w:bCs/>
      <w:sz w:val="28"/>
      <w:szCs w:val="28"/>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2">
    <w:name w:val="toa heading"/>
    <w:basedOn w:val="1"/>
    <w:next w:val="1"/>
    <w:autoRedefine/>
    <w:qFormat/>
    <w:uiPriority w:val="0"/>
    <w:rPr>
      <w:rFonts w:ascii="Arial" w:hAnsi="Arial" w:eastAsia="宋体" w:cs="Times New Roman"/>
      <w:sz w:val="24"/>
      <w:szCs w:val="21"/>
    </w:rPr>
  </w:style>
  <w:style w:type="paragraph" w:styleId="6">
    <w:name w:val="Normal Indent"/>
    <w:basedOn w:val="1"/>
    <w:link w:val="42"/>
    <w:autoRedefine/>
    <w:qFormat/>
    <w:uiPriority w:val="0"/>
    <w:pPr>
      <w:adjustRightInd w:val="0"/>
      <w:ind w:firstLine="420"/>
      <w:jc w:val="left"/>
      <w:textAlignment w:val="baseline"/>
    </w:pPr>
    <w:rPr>
      <w:rFonts w:ascii="Calibri" w:hAnsi="Calibri" w:eastAsia="楷体_GB2312" w:cs="Times New Roman"/>
      <w:kern w:val="0"/>
      <w:sz w:val="24"/>
      <w:szCs w:val="20"/>
    </w:rPr>
  </w:style>
  <w:style w:type="paragraph" w:styleId="7">
    <w:name w:val="Document Map"/>
    <w:basedOn w:val="1"/>
    <w:link w:val="45"/>
    <w:autoRedefine/>
    <w:semiHidden/>
    <w:unhideWhenUsed/>
    <w:qFormat/>
    <w:uiPriority w:val="99"/>
    <w:rPr>
      <w:rFonts w:ascii="宋体" w:eastAsia="宋体"/>
      <w:sz w:val="18"/>
      <w:szCs w:val="18"/>
    </w:rPr>
  </w:style>
  <w:style w:type="paragraph" w:styleId="8">
    <w:name w:val="annotation text"/>
    <w:basedOn w:val="1"/>
    <w:link w:val="48"/>
    <w:autoRedefine/>
    <w:semiHidden/>
    <w:unhideWhenUsed/>
    <w:qFormat/>
    <w:uiPriority w:val="99"/>
    <w:pPr>
      <w:jc w:val="left"/>
    </w:pPr>
  </w:style>
  <w:style w:type="paragraph" w:styleId="9">
    <w:name w:val="Body Text"/>
    <w:basedOn w:val="1"/>
    <w:autoRedefine/>
    <w:qFormat/>
    <w:uiPriority w:val="0"/>
    <w:rPr>
      <w:rFonts w:ascii="楷体_GB2312" w:hAnsi="Arial" w:eastAsia="楷体_GB2312"/>
      <w:sz w:val="28"/>
      <w:szCs w:val="28"/>
    </w:rPr>
  </w:style>
  <w:style w:type="paragraph" w:styleId="10">
    <w:name w:val="Body Text Indent"/>
    <w:basedOn w:val="1"/>
    <w:next w:val="11"/>
    <w:autoRedefine/>
    <w:semiHidden/>
    <w:unhideWhenUsed/>
    <w:qFormat/>
    <w:uiPriority w:val="99"/>
    <w:pPr>
      <w:spacing w:after="120"/>
      <w:ind w:left="420" w:leftChars="200"/>
    </w:pPr>
  </w:style>
  <w:style w:type="paragraph" w:styleId="11">
    <w:name w:val="envelope return"/>
    <w:basedOn w:val="1"/>
    <w:autoRedefine/>
    <w:unhideWhenUsed/>
    <w:qFormat/>
    <w:uiPriority w:val="99"/>
    <w:pPr>
      <w:snapToGrid w:val="0"/>
    </w:pPr>
    <w:rPr>
      <w:rFonts w:ascii="Arial" w:hAnsi="Arial" w:eastAsia="楷体_GB2312" w:cs="Times New Roman"/>
      <w:sz w:val="26"/>
      <w:szCs w:val="20"/>
    </w:rPr>
  </w:style>
  <w:style w:type="paragraph" w:styleId="12">
    <w:name w:val="index 4"/>
    <w:basedOn w:val="1"/>
    <w:next w:val="1"/>
    <w:autoRedefine/>
    <w:qFormat/>
    <w:uiPriority w:val="0"/>
    <w:pPr>
      <w:ind w:left="1260"/>
    </w:pPr>
    <w:rPr>
      <w:rFonts w:ascii="Calibri" w:hAnsi="Calibri" w:eastAsia="宋体" w:cs="Times New Roman"/>
      <w:szCs w:val="20"/>
    </w:rPr>
  </w:style>
  <w:style w:type="paragraph" w:styleId="13">
    <w:name w:val="toc 3"/>
    <w:basedOn w:val="1"/>
    <w:next w:val="1"/>
    <w:autoRedefine/>
    <w:qFormat/>
    <w:uiPriority w:val="0"/>
    <w:pPr>
      <w:ind w:left="840" w:leftChars="400"/>
    </w:pPr>
    <w:rPr>
      <w:rFonts w:ascii="Calibri" w:hAnsi="Calibri" w:eastAsia="宋体" w:cs="Times New Roman"/>
      <w:szCs w:val="20"/>
    </w:rPr>
  </w:style>
  <w:style w:type="paragraph" w:styleId="14">
    <w:name w:val="Plain Text"/>
    <w:basedOn w:val="1"/>
    <w:next w:val="1"/>
    <w:link w:val="54"/>
    <w:autoRedefine/>
    <w:qFormat/>
    <w:uiPriority w:val="99"/>
    <w:rPr>
      <w:rFonts w:ascii="宋体" w:hAnsi="Courier New" w:eastAsia="宋体" w:cs="Times New Roman"/>
      <w:szCs w:val="20"/>
    </w:rPr>
  </w:style>
  <w:style w:type="paragraph" w:styleId="15">
    <w:name w:val="Balloon Text"/>
    <w:basedOn w:val="1"/>
    <w:link w:val="47"/>
    <w:autoRedefine/>
    <w:semiHidden/>
    <w:unhideWhenUsed/>
    <w:qFormat/>
    <w:uiPriority w:val="99"/>
    <w:rPr>
      <w:sz w:val="18"/>
      <w:szCs w:val="18"/>
    </w:rPr>
  </w:style>
  <w:style w:type="paragraph" w:styleId="16">
    <w:name w:val="footer"/>
    <w:basedOn w:val="1"/>
    <w:link w:val="41"/>
    <w:autoRedefine/>
    <w:unhideWhenUsed/>
    <w:qFormat/>
    <w:uiPriority w:val="99"/>
    <w:pPr>
      <w:tabs>
        <w:tab w:val="center" w:pos="4153"/>
        <w:tab w:val="right" w:pos="8306"/>
      </w:tabs>
      <w:snapToGrid w:val="0"/>
      <w:jc w:val="left"/>
    </w:pPr>
    <w:rPr>
      <w:sz w:val="18"/>
      <w:szCs w:val="18"/>
    </w:rPr>
  </w:style>
  <w:style w:type="paragraph" w:styleId="17">
    <w:name w:val="header"/>
    <w:basedOn w:val="1"/>
    <w:link w:val="4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qFormat/>
    <w:uiPriority w:val="0"/>
    <w:pPr>
      <w:adjustRightInd w:val="0"/>
      <w:jc w:val="left"/>
      <w:textAlignment w:val="baseline"/>
    </w:pPr>
    <w:rPr>
      <w:rFonts w:ascii="Calibri" w:hAnsi="Calibri" w:eastAsia="楷体_GB2312" w:cs="Times New Roman"/>
      <w:sz w:val="24"/>
      <w:szCs w:val="20"/>
    </w:rPr>
  </w:style>
  <w:style w:type="paragraph" w:styleId="19">
    <w:name w:val="Normal (Web)"/>
    <w:basedOn w:val="1"/>
    <w:autoRedefine/>
    <w:unhideWhenUsed/>
    <w:qFormat/>
    <w:uiPriority w:val="99"/>
    <w:pPr>
      <w:spacing w:before="100" w:beforeAutospacing="1" w:after="100" w:afterAutospacing="1"/>
      <w:jc w:val="left"/>
    </w:pPr>
    <w:rPr>
      <w:rFonts w:ascii="Calibri" w:hAnsi="Calibri" w:eastAsia="宋体" w:cs="Times New Roman"/>
      <w:kern w:val="0"/>
      <w:sz w:val="24"/>
      <w:szCs w:val="20"/>
    </w:rPr>
  </w:style>
  <w:style w:type="paragraph" w:styleId="20">
    <w:name w:val="annotation subject"/>
    <w:basedOn w:val="8"/>
    <w:next w:val="8"/>
    <w:link w:val="49"/>
    <w:autoRedefine/>
    <w:semiHidden/>
    <w:unhideWhenUsed/>
    <w:qFormat/>
    <w:uiPriority w:val="99"/>
    <w:rPr>
      <w:b/>
      <w:bCs/>
    </w:rPr>
  </w:style>
  <w:style w:type="paragraph" w:styleId="21">
    <w:name w:val="Body Text First Indent"/>
    <w:basedOn w:val="9"/>
    <w:autoRedefine/>
    <w:unhideWhenUsed/>
    <w:qFormat/>
    <w:uiPriority w:val="99"/>
    <w:pPr>
      <w:ind w:firstLine="420" w:firstLineChars="100"/>
    </w:pPr>
  </w:style>
  <w:style w:type="paragraph" w:styleId="22">
    <w:name w:val="Body Text First Indent 2"/>
    <w:basedOn w:val="10"/>
    <w:autoRedefine/>
    <w:unhideWhenUsed/>
    <w:qFormat/>
    <w:uiPriority w:val="99"/>
    <w:pPr>
      <w:ind w:firstLine="420" w:firstLineChars="200"/>
    </w:pPr>
  </w:style>
  <w:style w:type="table" w:styleId="24">
    <w:name w:val="Table Grid"/>
    <w:basedOn w:val="23"/>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FollowedHyperlink"/>
    <w:basedOn w:val="25"/>
    <w:autoRedefine/>
    <w:semiHidden/>
    <w:unhideWhenUsed/>
    <w:qFormat/>
    <w:uiPriority w:val="99"/>
    <w:rPr>
      <w:color w:val="800080"/>
      <w:u w:val="none"/>
    </w:rPr>
  </w:style>
  <w:style w:type="character" w:styleId="27">
    <w:name w:val="HTML Definition"/>
    <w:basedOn w:val="25"/>
    <w:autoRedefine/>
    <w:semiHidden/>
    <w:unhideWhenUsed/>
    <w:qFormat/>
    <w:uiPriority w:val="99"/>
  </w:style>
  <w:style w:type="character" w:styleId="28">
    <w:name w:val="HTML Typewriter"/>
    <w:basedOn w:val="25"/>
    <w:autoRedefine/>
    <w:semiHidden/>
    <w:unhideWhenUsed/>
    <w:qFormat/>
    <w:uiPriority w:val="99"/>
    <w:rPr>
      <w:rFonts w:ascii="monospace" w:hAnsi="monospace" w:eastAsia="monospace" w:cs="monospace"/>
      <w:sz w:val="20"/>
    </w:rPr>
  </w:style>
  <w:style w:type="character" w:styleId="29">
    <w:name w:val="HTML Acronym"/>
    <w:basedOn w:val="25"/>
    <w:semiHidden/>
    <w:unhideWhenUsed/>
    <w:qFormat/>
    <w:uiPriority w:val="99"/>
  </w:style>
  <w:style w:type="character" w:styleId="30">
    <w:name w:val="HTML Variable"/>
    <w:basedOn w:val="25"/>
    <w:semiHidden/>
    <w:unhideWhenUsed/>
    <w:qFormat/>
    <w:uiPriority w:val="99"/>
  </w:style>
  <w:style w:type="character" w:styleId="31">
    <w:name w:val="Hyperlink"/>
    <w:basedOn w:val="25"/>
    <w:unhideWhenUsed/>
    <w:qFormat/>
    <w:uiPriority w:val="99"/>
    <w:rPr>
      <w:color w:val="0000FF" w:themeColor="hyperlink"/>
      <w:u w:val="single"/>
      <w14:textFill>
        <w14:solidFill>
          <w14:schemeClr w14:val="hlink"/>
        </w14:solidFill>
      </w14:textFill>
    </w:rPr>
  </w:style>
  <w:style w:type="character" w:styleId="32">
    <w:name w:val="HTML Code"/>
    <w:basedOn w:val="25"/>
    <w:semiHidden/>
    <w:unhideWhenUsed/>
    <w:qFormat/>
    <w:uiPriority w:val="99"/>
    <w:rPr>
      <w:rFonts w:hint="default" w:ascii="monospace" w:hAnsi="monospace" w:eastAsia="monospace" w:cs="monospace"/>
      <w:sz w:val="20"/>
    </w:rPr>
  </w:style>
  <w:style w:type="character" w:styleId="33">
    <w:name w:val="annotation reference"/>
    <w:basedOn w:val="25"/>
    <w:semiHidden/>
    <w:unhideWhenUsed/>
    <w:qFormat/>
    <w:uiPriority w:val="99"/>
    <w:rPr>
      <w:sz w:val="21"/>
      <w:szCs w:val="21"/>
    </w:rPr>
  </w:style>
  <w:style w:type="character" w:styleId="34">
    <w:name w:val="HTML Cite"/>
    <w:basedOn w:val="25"/>
    <w:semiHidden/>
    <w:unhideWhenUsed/>
    <w:qFormat/>
    <w:uiPriority w:val="99"/>
  </w:style>
  <w:style w:type="character" w:styleId="35">
    <w:name w:val="HTML Keyboard"/>
    <w:basedOn w:val="25"/>
    <w:semiHidden/>
    <w:unhideWhenUsed/>
    <w:qFormat/>
    <w:uiPriority w:val="99"/>
    <w:rPr>
      <w:rFonts w:hint="default" w:ascii="monospace" w:hAnsi="monospace" w:eastAsia="monospace" w:cs="monospace"/>
      <w:sz w:val="20"/>
    </w:rPr>
  </w:style>
  <w:style w:type="character" w:styleId="36">
    <w:name w:val="HTML Sample"/>
    <w:basedOn w:val="25"/>
    <w:semiHidden/>
    <w:unhideWhenUsed/>
    <w:qFormat/>
    <w:uiPriority w:val="99"/>
    <w:rPr>
      <w:rFonts w:hint="default" w:ascii="monospace" w:hAnsi="monospace" w:eastAsia="monospace" w:cs="monospace"/>
    </w:rPr>
  </w:style>
  <w:style w:type="paragraph" w:customStyle="1" w:styleId="37">
    <w:name w:val="正文首行缩进 21"/>
    <w:basedOn w:val="38"/>
    <w:next w:val="1"/>
    <w:autoRedefine/>
    <w:unhideWhenUsed/>
    <w:qFormat/>
    <w:uiPriority w:val="0"/>
    <w:pPr>
      <w:ind w:firstLine="420"/>
    </w:pPr>
    <w:rPr>
      <w:lang w:val="en-US" w:eastAsia="en-US"/>
    </w:rPr>
  </w:style>
  <w:style w:type="paragraph" w:customStyle="1" w:styleId="38">
    <w:name w:val="正文文本缩进1"/>
    <w:basedOn w:val="1"/>
    <w:next w:val="39"/>
    <w:autoRedefine/>
    <w:unhideWhenUsed/>
    <w:qFormat/>
    <w:uiPriority w:val="0"/>
    <w:pPr>
      <w:spacing w:after="120"/>
      <w:ind w:left="420"/>
    </w:pPr>
    <w:rPr>
      <w:rFonts w:ascii="Times New Roman" w:hAnsi="Times New Roman"/>
      <w:lang w:val="en-US" w:eastAsia="en-US"/>
    </w:rPr>
  </w:style>
  <w:style w:type="paragraph" w:customStyle="1" w:styleId="39">
    <w:name w:val="寄信人地址1"/>
    <w:basedOn w:val="1"/>
    <w:autoRedefine/>
    <w:unhideWhenUsed/>
    <w:qFormat/>
    <w:uiPriority w:val="99"/>
    <w:rPr>
      <w:rFonts w:ascii="Arial" w:hAnsi="Arial" w:eastAsia="楷体_GB2312" w:cs="Times New Roman"/>
      <w:sz w:val="26"/>
      <w:szCs w:val="20"/>
    </w:rPr>
  </w:style>
  <w:style w:type="character" w:customStyle="1" w:styleId="40">
    <w:name w:val="页眉 Char"/>
    <w:basedOn w:val="25"/>
    <w:link w:val="17"/>
    <w:qFormat/>
    <w:uiPriority w:val="99"/>
    <w:rPr>
      <w:sz w:val="18"/>
      <w:szCs w:val="18"/>
    </w:rPr>
  </w:style>
  <w:style w:type="character" w:customStyle="1" w:styleId="41">
    <w:name w:val="页脚 Char"/>
    <w:basedOn w:val="25"/>
    <w:link w:val="16"/>
    <w:qFormat/>
    <w:uiPriority w:val="99"/>
    <w:rPr>
      <w:sz w:val="18"/>
      <w:szCs w:val="18"/>
    </w:rPr>
  </w:style>
  <w:style w:type="character" w:customStyle="1" w:styleId="42">
    <w:name w:val="正文缩进 Char"/>
    <w:link w:val="6"/>
    <w:qFormat/>
    <w:uiPriority w:val="0"/>
    <w:rPr>
      <w:rFonts w:ascii="Calibri" w:hAnsi="Calibri" w:eastAsia="楷体_GB2312" w:cs="Times New Roman"/>
      <w:kern w:val="0"/>
      <w:sz w:val="24"/>
      <w:szCs w:val="20"/>
    </w:rPr>
  </w:style>
  <w:style w:type="character" w:customStyle="1" w:styleId="43">
    <w:name w:val="标题 1 Char"/>
    <w:basedOn w:val="25"/>
    <w:link w:val="3"/>
    <w:qFormat/>
    <w:uiPriority w:val="0"/>
    <w:rPr>
      <w:rFonts w:ascii="Calibri" w:hAnsi="Calibri" w:eastAsia="楷体_GB2312" w:cs="Times New Roman"/>
      <w:b/>
      <w:kern w:val="44"/>
      <w:sz w:val="44"/>
      <w:szCs w:val="20"/>
    </w:rPr>
  </w:style>
  <w:style w:type="character" w:customStyle="1" w:styleId="44">
    <w:name w:val="标题 2 Char"/>
    <w:basedOn w:val="25"/>
    <w:link w:val="4"/>
    <w:qFormat/>
    <w:uiPriority w:val="9"/>
    <w:rPr>
      <w:rFonts w:asciiTheme="majorHAnsi" w:hAnsiTheme="majorHAnsi" w:eastAsiaTheme="majorEastAsia" w:cstheme="majorBidi"/>
      <w:b/>
      <w:bCs/>
      <w:sz w:val="32"/>
      <w:szCs w:val="32"/>
    </w:rPr>
  </w:style>
  <w:style w:type="character" w:customStyle="1" w:styleId="45">
    <w:name w:val="文档结构图 Char"/>
    <w:basedOn w:val="25"/>
    <w:link w:val="7"/>
    <w:semiHidden/>
    <w:qFormat/>
    <w:uiPriority w:val="99"/>
    <w:rPr>
      <w:rFonts w:ascii="宋体" w:eastAsia="宋体"/>
      <w:sz w:val="18"/>
      <w:szCs w:val="18"/>
    </w:rPr>
  </w:style>
  <w:style w:type="character" w:customStyle="1" w:styleId="46">
    <w:name w:val="NormalCharacter"/>
    <w:qFormat/>
    <w:uiPriority w:val="0"/>
    <w:rPr>
      <w:rFonts w:ascii="Times New Roman" w:hAnsi="Times New Roman" w:eastAsia="宋体" w:cs="Times New Roman"/>
    </w:rPr>
  </w:style>
  <w:style w:type="character" w:customStyle="1" w:styleId="47">
    <w:name w:val="批注框文本 Char"/>
    <w:basedOn w:val="25"/>
    <w:link w:val="15"/>
    <w:semiHidden/>
    <w:qFormat/>
    <w:uiPriority w:val="99"/>
    <w:rPr>
      <w:kern w:val="2"/>
      <w:sz w:val="18"/>
      <w:szCs w:val="18"/>
    </w:rPr>
  </w:style>
  <w:style w:type="character" w:customStyle="1" w:styleId="48">
    <w:name w:val="批注文字 Char"/>
    <w:basedOn w:val="25"/>
    <w:link w:val="8"/>
    <w:semiHidden/>
    <w:qFormat/>
    <w:uiPriority w:val="99"/>
    <w:rPr>
      <w:kern w:val="2"/>
      <w:sz w:val="21"/>
      <w:szCs w:val="22"/>
    </w:rPr>
  </w:style>
  <w:style w:type="character" w:customStyle="1" w:styleId="49">
    <w:name w:val="批注主题 Char"/>
    <w:basedOn w:val="48"/>
    <w:link w:val="20"/>
    <w:semiHidden/>
    <w:qFormat/>
    <w:uiPriority w:val="99"/>
    <w:rPr>
      <w:b/>
      <w:bCs/>
      <w:kern w:val="2"/>
      <w:sz w:val="21"/>
      <w:szCs w:val="22"/>
    </w:rPr>
  </w:style>
  <w:style w:type="character" w:customStyle="1" w:styleId="50">
    <w:name w:val="普通正文 Char"/>
    <w:link w:val="51"/>
    <w:qFormat/>
    <w:uiPriority w:val="0"/>
    <w:rPr>
      <w:rFonts w:ascii="Arial" w:hAnsi="Arial"/>
      <w:sz w:val="24"/>
      <w:szCs w:val="24"/>
    </w:rPr>
  </w:style>
  <w:style w:type="paragraph" w:customStyle="1" w:styleId="51">
    <w:name w:val="普通正文"/>
    <w:basedOn w:val="1"/>
    <w:link w:val="50"/>
    <w:qFormat/>
    <w:uiPriority w:val="99"/>
    <w:pPr>
      <w:adjustRightInd w:val="0"/>
      <w:spacing w:before="120" w:after="120" w:line="360" w:lineRule="auto"/>
      <w:ind w:left="-2" w:right="120" w:firstLine="480"/>
      <w:jc w:val="center"/>
      <w:textAlignment w:val="baseline"/>
    </w:pPr>
    <w:rPr>
      <w:rFonts w:ascii="Arial" w:hAnsi="Arial"/>
      <w:kern w:val="0"/>
      <w:sz w:val="24"/>
      <w:szCs w:val="24"/>
    </w:rPr>
  </w:style>
  <w:style w:type="paragraph" w:customStyle="1" w:styleId="52">
    <w:name w:val="Normal_6"/>
    <w:qFormat/>
    <w:uiPriority w:val="0"/>
    <w:rPr>
      <w:rFonts w:ascii="Times New Roman" w:hAnsi="Times New Roman" w:eastAsia="Times New Roman" w:cs="Times New Roman"/>
      <w:sz w:val="24"/>
      <w:szCs w:val="24"/>
      <w:lang w:val="en-US" w:eastAsia="zh-CN" w:bidi="ar-SA"/>
    </w:rPr>
  </w:style>
  <w:style w:type="paragraph" w:customStyle="1" w:styleId="53">
    <w:name w:val="Normal_5"/>
    <w:qFormat/>
    <w:uiPriority w:val="0"/>
    <w:rPr>
      <w:rFonts w:ascii="Times New Roman" w:hAnsi="Times New Roman" w:eastAsia="Times New Roman" w:cs="Times New Roman"/>
      <w:sz w:val="24"/>
      <w:szCs w:val="24"/>
      <w:lang w:val="en-US" w:eastAsia="zh-CN" w:bidi="ar-SA"/>
    </w:rPr>
  </w:style>
  <w:style w:type="character" w:customStyle="1" w:styleId="54">
    <w:name w:val="纯文本 Char"/>
    <w:basedOn w:val="25"/>
    <w:link w:val="14"/>
    <w:qFormat/>
    <w:locked/>
    <w:uiPriority w:val="0"/>
    <w:rPr>
      <w:rFonts w:ascii="宋体" w:hAnsi="Courier New" w:eastAsia="宋体" w:cs="Times New Roman"/>
      <w:kern w:val="2"/>
      <w:sz w:val="21"/>
    </w:rPr>
  </w:style>
  <w:style w:type="paragraph" w:styleId="55">
    <w:name w:val="List Paragraph"/>
    <w:basedOn w:val="1"/>
    <w:qFormat/>
    <w:uiPriority w:val="34"/>
    <w:pPr>
      <w:ind w:firstLine="420" w:firstLineChars="200"/>
    </w:pPr>
    <w:rPr>
      <w:rFonts w:ascii="Times New Roman" w:hAnsi="Times New Roman" w:eastAsia="宋体" w:cs="Times New Roman"/>
      <w:szCs w:val="21"/>
    </w:rPr>
  </w:style>
  <w:style w:type="paragraph" w:customStyle="1" w:styleId="56">
    <w:name w:val="正文1"/>
    <w:qFormat/>
    <w:uiPriority w:val="0"/>
    <w:pPr>
      <w:widowControl w:val="0"/>
      <w:adjustRightInd w:val="0"/>
      <w:spacing w:line="360" w:lineRule="atLeast"/>
    </w:pPr>
    <w:rPr>
      <w:rFonts w:hint="eastAsia" w:ascii="宋体" w:hAnsi="Times New Roman" w:eastAsia="宋体" w:cs="Times New Roman"/>
      <w:sz w:val="34"/>
      <w:lang w:val="en-US" w:eastAsia="zh-CN" w:bidi="ar-SA"/>
    </w:rPr>
  </w:style>
  <w:style w:type="paragraph" w:customStyle="1" w:styleId="57">
    <w:name w:val="列出段落2"/>
    <w:basedOn w:val="1"/>
    <w:qFormat/>
    <w:uiPriority w:val="99"/>
    <w:pPr>
      <w:ind w:firstLine="420" w:firstLineChars="200"/>
    </w:pPr>
    <w:rPr>
      <w:rFonts w:ascii="Times New Roman" w:hAnsi="Times New Roman"/>
      <w:szCs w:val="24"/>
    </w:rPr>
  </w:style>
  <w:style w:type="character" w:customStyle="1" w:styleId="58">
    <w:name w:val="样式 小四 加粗"/>
    <w:basedOn w:val="25"/>
    <w:qFormat/>
    <w:uiPriority w:val="0"/>
    <w:rPr>
      <w:rFonts w:eastAsia="黑体"/>
      <w:b/>
      <w:bCs/>
      <w:sz w:val="24"/>
    </w:rPr>
  </w:style>
  <w:style w:type="character" w:customStyle="1" w:styleId="59">
    <w:name w:val="first-child"/>
    <w:basedOn w:val="25"/>
    <w:qFormat/>
    <w:uiPriority w:val="0"/>
  </w:style>
  <w:style w:type="character" w:customStyle="1" w:styleId="60">
    <w:name w:val="hover3"/>
    <w:basedOn w:val="25"/>
    <w:qFormat/>
    <w:uiPriority w:val="0"/>
    <w:rPr>
      <w:color w:val="5FB878"/>
    </w:rPr>
  </w:style>
  <w:style w:type="character" w:customStyle="1" w:styleId="61">
    <w:name w:val="hover4"/>
    <w:basedOn w:val="25"/>
    <w:qFormat/>
    <w:uiPriority w:val="0"/>
    <w:rPr>
      <w:color w:val="5FB878"/>
    </w:rPr>
  </w:style>
  <w:style w:type="character" w:customStyle="1" w:styleId="62">
    <w:name w:val="hover5"/>
    <w:basedOn w:val="25"/>
    <w:qFormat/>
    <w:uiPriority w:val="0"/>
    <w:rPr>
      <w:color w:val="FFFFFF"/>
    </w:rPr>
  </w:style>
  <w:style w:type="character" w:customStyle="1" w:styleId="63">
    <w:name w:val="layui-this"/>
    <w:basedOn w:val="25"/>
    <w:qFormat/>
    <w:uiPriority w:val="0"/>
    <w:rPr>
      <w:bdr w:val="single" w:color="EEEEEE" w:sz="6" w:space="0"/>
      <w:shd w:val="clear" w:fill="FFFF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0DD749-82EB-4CF5-A9C1-4770C2D4691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31</Pages>
  <Words>15209</Words>
  <Characters>15586</Characters>
  <Lines>120</Lines>
  <Paragraphs>33</Paragraphs>
  <TotalTime>1</TotalTime>
  <ScaleCrop>false</ScaleCrop>
  <LinksUpToDate>false</LinksUpToDate>
  <CharactersWithSpaces>15693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2023-06-15T08:52:00Z</dcterms:created>
  <dc:creator>Administrator</dc:creator>
  <cp:lastModifiedBy>小白</cp:lastModifiedBy>
  <dcterms:modified xsi:type="dcterms:W3CDTF">2024-01-04T00:47:29Z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079A696EDF02486BB848DA2AE0392408_13</vt:lpwstr>
  </property>
</Properties>
</file>