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FD073">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color w:val="auto"/>
          <w:sz w:val="44"/>
          <w:szCs w:val="44"/>
          <w:highlight w:val="none"/>
        </w:rPr>
      </w:pPr>
    </w:p>
    <w:p w14:paraId="18194507">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color w:val="auto"/>
          <w:sz w:val="44"/>
          <w:szCs w:val="44"/>
          <w:highlight w:val="none"/>
        </w:rPr>
      </w:pPr>
      <w:r>
        <w:rPr>
          <w:rFonts w:ascii="Times New Roman" w:hAnsi="Times New Roman" w:eastAsia="宋体"/>
          <w:color w:val="auto"/>
          <w:sz w:val="44"/>
          <w:szCs w:val="44"/>
          <w:highlight w:val="none"/>
        </w:rPr>
        <w:tab/>
      </w:r>
    </w:p>
    <w:p w14:paraId="256A3111">
      <w:pPr>
        <w:pStyle w:val="58"/>
        <w:keepNext w:val="0"/>
        <w:keepLines w:val="0"/>
        <w:pageBreakBefore w:val="0"/>
        <w:widowControl w:val="0"/>
        <w:kinsoku/>
        <w:wordWrap/>
        <w:topLinePunct w:val="0"/>
        <w:autoSpaceDE/>
        <w:autoSpaceDN/>
        <w:bidi w:val="0"/>
        <w:spacing w:before="0" w:after="0" w:line="360" w:lineRule="auto"/>
        <w:ind w:firstLine="0"/>
        <w:rPr>
          <w:rFonts w:hint="eastAsia" w:ascii="Times New Roman" w:hAnsi="Times New Roman" w:eastAsia="宋体"/>
          <w:b/>
          <w:color w:val="auto"/>
          <w:sz w:val="56"/>
          <w:szCs w:val="56"/>
          <w:highlight w:val="none"/>
          <w:lang w:eastAsia="zh-CN"/>
        </w:rPr>
      </w:pPr>
      <w:r>
        <w:rPr>
          <w:rFonts w:hint="eastAsia" w:ascii="Times New Roman" w:hAnsi="Times New Roman" w:eastAsia="宋体"/>
          <w:b/>
          <w:color w:val="auto"/>
          <w:sz w:val="56"/>
          <w:szCs w:val="56"/>
          <w:highlight w:val="none"/>
          <w:lang w:eastAsia="zh-CN"/>
        </w:rPr>
        <w:t>南通市第三人民医院新老中央空调系统管路（二期大楼与4#6#楼）之间增设板式换热机组（第二次）</w:t>
      </w:r>
    </w:p>
    <w:p w14:paraId="3B9B7B9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p>
    <w:p w14:paraId="05910CD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56"/>
          <w:szCs w:val="56"/>
          <w:highlight w:val="none"/>
        </w:rPr>
      </w:pPr>
    </w:p>
    <w:p w14:paraId="05DDC48D">
      <w:pPr>
        <w:keepNext w:val="0"/>
        <w:keepLines w:val="0"/>
        <w:pageBreakBefore w:val="0"/>
        <w:widowControl w:val="0"/>
        <w:kinsoku/>
        <w:wordWrap/>
        <w:topLinePunct w:val="0"/>
        <w:autoSpaceDE/>
        <w:autoSpaceDN/>
        <w:bidi w:val="0"/>
        <w:spacing w:line="360" w:lineRule="auto"/>
        <w:jc w:val="both"/>
        <w:textAlignment w:val="baseline"/>
        <w:rPr>
          <w:rFonts w:ascii="Times New Roman" w:hAnsi="Times New Roman" w:eastAsia="宋体"/>
          <w:b/>
          <w:color w:val="auto"/>
          <w:sz w:val="72"/>
          <w:szCs w:val="56"/>
          <w:highlight w:val="none"/>
        </w:rPr>
      </w:pPr>
    </w:p>
    <w:p w14:paraId="627049D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r>
        <w:rPr>
          <w:rFonts w:ascii="Times New Roman" w:hAnsi="Times New Roman" w:eastAsia="宋体"/>
          <w:b/>
          <w:color w:val="auto"/>
          <w:sz w:val="72"/>
          <w:szCs w:val="56"/>
          <w:highlight w:val="none"/>
        </w:rPr>
        <w:t>竞争性磋商文件</w:t>
      </w:r>
    </w:p>
    <w:p w14:paraId="6A1AA93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44"/>
          <w:szCs w:val="44"/>
          <w:highlight w:val="none"/>
        </w:rPr>
      </w:pPr>
      <w:r>
        <w:rPr>
          <w:rFonts w:hint="eastAsia" w:ascii="Times New Roman" w:hAnsi="Times New Roman" w:eastAsia="宋体"/>
          <w:b/>
          <w:color w:val="auto"/>
          <w:sz w:val="44"/>
          <w:szCs w:val="44"/>
          <w:highlight w:val="none"/>
        </w:rPr>
        <w:t>（资格后审）</w:t>
      </w:r>
    </w:p>
    <w:p w14:paraId="2496116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43AF1A5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598111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36"/>
          <w:highlight w:val="none"/>
        </w:rPr>
      </w:pPr>
    </w:p>
    <w:p w14:paraId="4B1DF84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55E9D7B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color w:val="auto"/>
          <w:sz w:val="30"/>
          <w:szCs w:val="30"/>
          <w:highlight w:val="none"/>
        </w:rPr>
      </w:pPr>
    </w:p>
    <w:p w14:paraId="1724E4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color w:val="auto"/>
          <w:sz w:val="30"/>
          <w:szCs w:val="30"/>
          <w:highlight w:val="none"/>
        </w:rPr>
      </w:pPr>
      <w:r>
        <w:rPr>
          <w:rFonts w:hint="eastAsia" w:ascii="Times New Roman" w:hAnsi="Times New Roman" w:eastAsia="宋体" w:cs="宋体"/>
          <w:b/>
          <w:color w:val="auto"/>
          <w:sz w:val="30"/>
          <w:szCs w:val="30"/>
          <w:highlight w:val="none"/>
        </w:rPr>
        <w:t>采购单位：南通市第三人民医院</w:t>
      </w:r>
    </w:p>
    <w:p w14:paraId="60B36CCE">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color w:val="auto"/>
          <w:sz w:val="30"/>
          <w:szCs w:val="30"/>
          <w:highlight w:val="none"/>
        </w:rPr>
      </w:pPr>
      <w:r>
        <w:rPr>
          <w:rFonts w:hint="eastAsia" w:ascii="Times New Roman" w:hAnsi="Times New Roman" w:eastAsia="宋体" w:cs="宋体"/>
          <w:b/>
          <w:color w:val="auto"/>
          <w:sz w:val="30"/>
          <w:szCs w:val="30"/>
          <w:highlight w:val="none"/>
        </w:rPr>
        <w:t>代理机构：宏信天德工程顾问有限公司</w:t>
      </w:r>
    </w:p>
    <w:p w14:paraId="689D664C">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color w:val="auto"/>
          <w:sz w:val="30"/>
          <w:szCs w:val="30"/>
          <w:highlight w:val="none"/>
          <w:lang w:eastAsia="zh-CN"/>
        </w:rPr>
      </w:pPr>
      <w:r>
        <w:rPr>
          <w:rFonts w:hint="eastAsia" w:ascii="Times New Roman" w:hAnsi="Times New Roman" w:eastAsia="宋体" w:cs="宋体"/>
          <w:b/>
          <w:color w:val="auto"/>
          <w:sz w:val="30"/>
          <w:szCs w:val="30"/>
          <w:highlight w:val="none"/>
        </w:rPr>
        <w:t>二○二</w:t>
      </w:r>
      <w:r>
        <w:rPr>
          <w:rFonts w:hint="eastAsia" w:ascii="Times New Roman" w:hAnsi="Times New Roman" w:eastAsia="宋体" w:cs="宋体"/>
          <w:b/>
          <w:color w:val="auto"/>
          <w:sz w:val="30"/>
          <w:szCs w:val="30"/>
          <w:highlight w:val="none"/>
          <w:lang w:eastAsia="zh-CN"/>
        </w:rPr>
        <w:t>四</w:t>
      </w:r>
      <w:r>
        <w:rPr>
          <w:rFonts w:hint="eastAsia" w:ascii="Times New Roman" w:hAnsi="Times New Roman" w:eastAsia="宋体" w:cs="宋体"/>
          <w:b/>
          <w:color w:val="auto"/>
          <w:sz w:val="30"/>
          <w:szCs w:val="30"/>
          <w:highlight w:val="none"/>
        </w:rPr>
        <w:t>年</w:t>
      </w:r>
      <w:r>
        <w:rPr>
          <w:rFonts w:hint="eastAsia" w:ascii="Times New Roman" w:hAnsi="Times New Roman" w:eastAsia="宋体" w:cs="宋体"/>
          <w:b/>
          <w:color w:val="auto"/>
          <w:sz w:val="30"/>
          <w:szCs w:val="30"/>
          <w:highlight w:val="none"/>
          <w:lang w:eastAsia="zh-CN"/>
        </w:rPr>
        <w:t>十月</w:t>
      </w:r>
    </w:p>
    <w:p w14:paraId="716420A6">
      <w:pPr>
        <w:keepNext w:val="0"/>
        <w:keepLines w:val="0"/>
        <w:pageBreakBefore w:val="0"/>
        <w:widowControl w:val="0"/>
        <w:wordWrap/>
        <w:topLinePunct w:val="0"/>
        <w:bidi w:val="0"/>
        <w:spacing w:line="360" w:lineRule="auto"/>
        <w:rPr>
          <w:rFonts w:hint="eastAsia" w:ascii="Times New Roman" w:hAnsi="Times New Roman" w:eastAsia="宋体" w:cs="仿宋"/>
          <w:b/>
          <w:color w:val="auto"/>
          <w:sz w:val="32"/>
          <w:szCs w:val="32"/>
          <w:highlight w:val="none"/>
          <w:lang w:eastAsia="zh-CN"/>
        </w:rPr>
      </w:pPr>
      <w:r>
        <w:rPr>
          <w:rFonts w:hint="eastAsia" w:ascii="Times New Roman" w:hAnsi="Times New Roman" w:eastAsia="宋体" w:cs="仿宋"/>
          <w:b/>
          <w:color w:val="auto"/>
          <w:sz w:val="32"/>
          <w:szCs w:val="32"/>
          <w:highlight w:val="none"/>
          <w:lang w:eastAsia="zh-CN"/>
        </w:rPr>
        <w:br w:type="page"/>
      </w:r>
    </w:p>
    <w:p w14:paraId="5172A593">
      <w:pPr>
        <w:pStyle w:val="7"/>
        <w:keepNext w:val="0"/>
        <w:keepLines w:val="0"/>
        <w:pageBreakBefore w:val="0"/>
        <w:widowControl w:val="0"/>
        <w:wordWrap/>
        <w:topLinePunct w:val="0"/>
        <w:bidi w:val="0"/>
        <w:spacing w:line="360" w:lineRule="auto"/>
        <w:rPr>
          <w:rFonts w:hint="eastAsia" w:ascii="Times New Roman" w:hAnsi="Times New Roman" w:eastAsia="宋体"/>
          <w:color w:val="auto"/>
          <w:highlight w:val="none"/>
        </w:rPr>
      </w:pPr>
    </w:p>
    <w:p w14:paraId="2AED9958">
      <w:pPr>
        <w:keepNext w:val="0"/>
        <w:keepLines w:val="0"/>
        <w:pageBreakBefore w:val="0"/>
        <w:widowControl w:val="0"/>
        <w:kinsoku/>
        <w:wordWrap/>
        <w:topLinePunct w:val="0"/>
        <w:autoSpaceDE/>
        <w:autoSpaceDN/>
        <w:bidi w:val="0"/>
        <w:adjustRightInd w:val="0"/>
        <w:snapToGrid w:val="0"/>
        <w:spacing w:line="360" w:lineRule="auto"/>
        <w:jc w:val="center"/>
        <w:rPr>
          <w:rFonts w:ascii="Times New Roman" w:hAnsi="Times New Roman" w:eastAsia="宋体"/>
          <w:b/>
          <w:color w:val="auto"/>
          <w:sz w:val="30"/>
          <w:szCs w:val="30"/>
          <w:highlight w:val="none"/>
        </w:rPr>
      </w:pPr>
      <w:r>
        <w:rPr>
          <w:rFonts w:hint="eastAsia" w:ascii="Times New Roman" w:hAnsi="Times New Roman" w:eastAsia="宋体"/>
          <w:b/>
          <w:color w:val="auto"/>
          <w:sz w:val="44"/>
          <w:szCs w:val="44"/>
          <w:highlight w:val="none"/>
        </w:rPr>
        <w:t>目  录</w:t>
      </w:r>
    </w:p>
    <w:p w14:paraId="45A64792">
      <w:pPr>
        <w:pStyle w:val="5"/>
        <w:keepNext w:val="0"/>
        <w:keepLines w:val="0"/>
        <w:pageBreakBefore w:val="0"/>
        <w:widowControl w:val="0"/>
        <w:kinsoku/>
        <w:wordWrap/>
        <w:overflowPunct w:val="0"/>
        <w:topLinePunct w:val="0"/>
        <w:autoSpaceDE/>
        <w:autoSpaceDN/>
        <w:bidi w:val="0"/>
        <w:spacing w:line="360" w:lineRule="auto"/>
        <w:ind w:firstLine="0"/>
        <w:jc w:val="center"/>
        <w:rPr>
          <w:rFonts w:ascii="Times New Roman" w:hAnsi="Times New Roman" w:eastAsia="宋体"/>
          <w:color w:val="auto"/>
          <w:sz w:val="30"/>
          <w:highlight w:val="none"/>
        </w:rPr>
      </w:pPr>
    </w:p>
    <w:p w14:paraId="590627D2">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b/>
          <w:bCs/>
          <w:color w:val="auto"/>
          <w:sz w:val="36"/>
          <w:szCs w:val="36"/>
          <w:highlight w:val="none"/>
        </w:rPr>
        <w:fldChar w:fldCharType="begin"/>
      </w:r>
      <w:r>
        <w:rPr>
          <w:rFonts w:ascii="Times New Roman" w:hAnsi="Times New Roman" w:eastAsia="宋体"/>
          <w:b/>
          <w:bCs/>
          <w:color w:val="auto"/>
          <w:sz w:val="36"/>
          <w:szCs w:val="36"/>
          <w:highlight w:val="none"/>
        </w:rPr>
        <w:instrText xml:space="preserve"> TOC \o "1-1"</w:instrText>
      </w:r>
      <w:r>
        <w:rPr>
          <w:rFonts w:ascii="Times New Roman" w:hAnsi="Times New Roman" w:eastAsia="宋体"/>
          <w:b/>
          <w:bCs/>
          <w:color w:val="auto"/>
          <w:sz w:val="36"/>
          <w:szCs w:val="36"/>
          <w:highlight w:val="none"/>
        </w:rPr>
        <w:fldChar w:fldCharType="separate"/>
      </w:r>
      <w:r>
        <w:rPr>
          <w:rFonts w:ascii="Times New Roman" w:hAnsi="Times New Roman" w:eastAsia="宋体"/>
          <w:color w:val="auto"/>
          <w:sz w:val="32"/>
          <w:szCs w:val="32"/>
          <w:highlight w:val="none"/>
        </w:rPr>
        <w:t xml:space="preserve">第一章 </w:t>
      </w:r>
      <w:r>
        <w:rPr>
          <w:rFonts w:hint="eastAsia" w:ascii="Times New Roman" w:hAnsi="Times New Roman" w:eastAsia="宋体"/>
          <w:color w:val="auto"/>
          <w:sz w:val="32"/>
          <w:szCs w:val="32"/>
          <w:highlight w:val="none"/>
        </w:rPr>
        <w:t>竞争性磋商公告</w:t>
      </w:r>
    </w:p>
    <w:p w14:paraId="5D64F6C0">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第二章 投标</w:t>
      </w:r>
      <w:r>
        <w:rPr>
          <w:rFonts w:hint="eastAsia" w:ascii="Times New Roman" w:hAnsi="Times New Roman" w:eastAsia="宋体"/>
          <w:color w:val="auto"/>
          <w:sz w:val="32"/>
          <w:szCs w:val="32"/>
          <w:highlight w:val="none"/>
        </w:rPr>
        <w:t>供应商</w:t>
      </w:r>
      <w:r>
        <w:rPr>
          <w:rFonts w:ascii="Times New Roman" w:hAnsi="Times New Roman" w:eastAsia="宋体"/>
          <w:color w:val="auto"/>
          <w:sz w:val="32"/>
          <w:szCs w:val="32"/>
          <w:highlight w:val="none"/>
        </w:rPr>
        <w:t>须知</w:t>
      </w:r>
    </w:p>
    <w:p w14:paraId="114A1FAA">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第三章 项目需求</w:t>
      </w:r>
    </w:p>
    <w:p w14:paraId="2BC05041">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四</w:t>
      </w:r>
      <w:r>
        <w:rPr>
          <w:rFonts w:ascii="Times New Roman" w:hAnsi="Times New Roman" w:eastAsia="宋体"/>
          <w:color w:val="auto"/>
          <w:sz w:val="32"/>
          <w:szCs w:val="32"/>
          <w:highlight w:val="none"/>
        </w:rPr>
        <w:t xml:space="preserve">章 </w:t>
      </w:r>
      <w:r>
        <w:rPr>
          <w:rFonts w:hint="eastAsia" w:ascii="Times New Roman" w:hAnsi="Times New Roman" w:eastAsia="宋体"/>
          <w:color w:val="auto"/>
          <w:sz w:val="32"/>
          <w:szCs w:val="32"/>
          <w:highlight w:val="none"/>
        </w:rPr>
        <w:t>评审方法和程序</w:t>
      </w:r>
    </w:p>
    <w:p w14:paraId="451A8294">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hint="eastAsia" w:ascii="Times New Roman" w:hAnsi="Times New Roman" w:eastAsia="宋体"/>
          <w:color w:val="auto"/>
          <w:sz w:val="32"/>
          <w:szCs w:val="32"/>
          <w:highlight w:val="none"/>
        </w:rPr>
        <w:t>第五章 合同授予</w:t>
      </w:r>
    </w:p>
    <w:p w14:paraId="6AD71410">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六</w:t>
      </w:r>
      <w:r>
        <w:rPr>
          <w:rFonts w:ascii="Times New Roman" w:hAnsi="Times New Roman" w:eastAsia="宋体"/>
          <w:color w:val="auto"/>
          <w:sz w:val="32"/>
          <w:szCs w:val="32"/>
          <w:highlight w:val="none"/>
        </w:rPr>
        <w:t>章</w:t>
      </w:r>
      <w:r>
        <w:rPr>
          <w:rFonts w:hint="eastAsia" w:ascii="Times New Roman" w:hAnsi="Times New Roman" w:eastAsia="宋体"/>
          <w:color w:val="auto"/>
          <w:sz w:val="32"/>
          <w:szCs w:val="32"/>
          <w:highlight w:val="none"/>
        </w:rPr>
        <w:t xml:space="preserve"> 质疑提出和处理</w:t>
      </w:r>
    </w:p>
    <w:p w14:paraId="07FF2F6F">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sz w:val="36"/>
          <w:szCs w:val="36"/>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七</w:t>
      </w:r>
      <w:r>
        <w:rPr>
          <w:rFonts w:ascii="Times New Roman" w:hAnsi="Times New Roman" w:eastAsia="宋体"/>
          <w:color w:val="auto"/>
          <w:sz w:val="32"/>
          <w:szCs w:val="32"/>
          <w:highlight w:val="none"/>
        </w:rPr>
        <w:t>章</w:t>
      </w:r>
      <w:r>
        <w:rPr>
          <w:rFonts w:hint="eastAsia" w:ascii="Times New Roman" w:hAnsi="Times New Roman" w:eastAsia="宋体"/>
          <w:color w:val="auto"/>
          <w:sz w:val="32"/>
          <w:szCs w:val="32"/>
          <w:highlight w:val="none"/>
        </w:rPr>
        <w:t xml:space="preserve"> 响应文件组成及格式</w:t>
      </w:r>
    </w:p>
    <w:p w14:paraId="69EB694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bCs/>
          <w:color w:val="auto"/>
          <w:sz w:val="36"/>
          <w:szCs w:val="36"/>
          <w:highlight w:val="none"/>
        </w:rPr>
      </w:pPr>
      <w:r>
        <w:rPr>
          <w:rFonts w:ascii="Times New Roman" w:hAnsi="Times New Roman" w:eastAsia="宋体"/>
          <w:b/>
          <w:bCs/>
          <w:color w:val="auto"/>
          <w:sz w:val="36"/>
          <w:szCs w:val="36"/>
          <w:highlight w:val="none"/>
        </w:rPr>
        <w:fldChar w:fldCharType="end"/>
      </w:r>
    </w:p>
    <w:p w14:paraId="1B0AB7D1">
      <w:pPr>
        <w:pStyle w:val="24"/>
        <w:keepNext w:val="0"/>
        <w:keepLines w:val="0"/>
        <w:pageBreakBefore w:val="0"/>
        <w:widowControl w:val="0"/>
        <w:kinsoku/>
        <w:wordWrap/>
        <w:topLinePunct w:val="0"/>
        <w:autoSpaceDE/>
        <w:autoSpaceDN/>
        <w:bidi w:val="0"/>
        <w:spacing w:after="0" w:line="360" w:lineRule="auto"/>
        <w:rPr>
          <w:rFonts w:ascii="Times New Roman" w:hAnsi="Times New Roman" w:eastAsia="宋体" w:cs="宋体"/>
          <w:b/>
          <w:color w:val="auto"/>
          <w:sz w:val="24"/>
          <w:szCs w:val="24"/>
          <w:highlight w:val="none"/>
        </w:rPr>
      </w:pPr>
      <w:r>
        <w:rPr>
          <w:rFonts w:ascii="Times New Roman" w:hAnsi="Times New Roman" w:eastAsia="宋体"/>
          <w:color w:val="auto"/>
          <w:highlight w:val="none"/>
        </w:rPr>
        <w:br w:type="page"/>
      </w:r>
    </w:p>
    <w:p w14:paraId="5D35E548">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olor w:val="auto"/>
          <w:w w:val="80"/>
          <w:sz w:val="48"/>
          <w:szCs w:val="44"/>
          <w:highlight w:val="none"/>
        </w:rPr>
      </w:pPr>
      <w:r>
        <w:rPr>
          <w:rFonts w:hint="eastAsia" w:ascii="Times New Roman" w:hAnsi="Times New Roman" w:eastAsia="宋体"/>
          <w:color w:val="auto"/>
          <w:w w:val="80"/>
          <w:sz w:val="48"/>
          <w:szCs w:val="44"/>
          <w:highlight w:val="none"/>
        </w:rPr>
        <w:t>第一章 竞争性磋商公告</w:t>
      </w:r>
    </w:p>
    <w:p w14:paraId="0F9410F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项目概况</w:t>
      </w:r>
    </w:p>
    <w:p w14:paraId="1E81CC4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宋体"/>
          <w:bCs/>
          <w:color w:val="auto"/>
          <w:sz w:val="24"/>
          <w:szCs w:val="24"/>
          <w:highlight w:val="none"/>
          <w:u w:val="single"/>
        </w:rPr>
      </w:pPr>
      <w:r>
        <w:rPr>
          <w:rFonts w:hint="eastAsia" w:ascii="Times New Roman" w:hAnsi="Times New Roman" w:eastAsia="宋体" w:cs="Times New Roman"/>
          <w:color w:val="auto"/>
          <w:sz w:val="24"/>
          <w:szCs w:val="24"/>
          <w:highlight w:val="none"/>
          <w:u w:val="single"/>
          <w:lang w:eastAsia="zh-CN"/>
        </w:rPr>
        <w:t>南通市第三人民医院新老中央空调系统管路（二期大楼与4#6#楼）之间增设板式换热机组（第二次）</w:t>
      </w:r>
      <w:r>
        <w:rPr>
          <w:rFonts w:hint="eastAsia" w:ascii="Times New Roman" w:hAnsi="Times New Roman" w:eastAsia="宋体" w:cs="Times New Roman"/>
          <w:color w:val="auto"/>
          <w:sz w:val="24"/>
          <w:szCs w:val="24"/>
          <w:highlight w:val="none"/>
        </w:rPr>
        <w:t>的潜在供应商应在</w:t>
      </w:r>
      <w:r>
        <w:rPr>
          <w:rFonts w:hint="eastAsia" w:ascii="Times New Roman" w:hAnsi="Times New Roman" w:eastAsia="宋体" w:cs="Times New Roman"/>
          <w:color w:val="auto"/>
          <w:sz w:val="24"/>
          <w:szCs w:val="24"/>
          <w:highlight w:val="none"/>
          <w:u w:val="single"/>
        </w:rPr>
        <w:t>南通市第三人民医院</w:t>
      </w:r>
      <w:r>
        <w:rPr>
          <w:rFonts w:hint="eastAsia" w:ascii="Times New Roman" w:hAnsi="Times New Roman" w:eastAsia="宋体" w:cs="Times New Roman"/>
          <w:color w:val="auto"/>
          <w:sz w:val="24"/>
          <w:szCs w:val="24"/>
          <w:highlight w:val="none"/>
        </w:rPr>
        <w:t>官网获取采购文件，并于</w:t>
      </w:r>
      <w:bookmarkStart w:id="17" w:name="_GoBack"/>
      <w:bookmarkEnd w:id="17"/>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10</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25</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w:t>
      </w:r>
      <w:r>
        <w:rPr>
          <w:rFonts w:hint="eastAsia" w:ascii="Times New Roman" w:hAnsi="Times New Roman" w:eastAsia="宋体" w:cs="宋体"/>
          <w:bCs/>
          <w:color w:val="auto"/>
          <w:sz w:val="24"/>
          <w:szCs w:val="24"/>
          <w:highlight w:val="none"/>
          <w:u w:val="single"/>
          <w:lang w:val="en-US" w:eastAsia="zh-CN"/>
        </w:rPr>
        <w:t>30</w:t>
      </w:r>
      <w:r>
        <w:rPr>
          <w:rFonts w:hint="eastAsia" w:ascii="Times New Roman" w:hAnsi="Times New Roman" w:eastAsia="宋体" w:cs="宋体"/>
          <w:bCs/>
          <w:color w:val="auto"/>
          <w:sz w:val="24"/>
          <w:szCs w:val="24"/>
          <w:highlight w:val="none"/>
          <w:u w:val="single"/>
        </w:rPr>
        <w:t>分</w:t>
      </w:r>
      <w:r>
        <w:rPr>
          <w:rFonts w:hint="eastAsia" w:ascii="Times New Roman" w:hAnsi="Times New Roman" w:eastAsia="宋体" w:cs="宋体"/>
          <w:bCs/>
          <w:color w:val="auto"/>
          <w:sz w:val="24"/>
          <w:szCs w:val="24"/>
          <w:highlight w:val="none"/>
        </w:rPr>
        <w:t>（北京时间）</w:t>
      </w:r>
      <w:r>
        <w:rPr>
          <w:rFonts w:hint="eastAsia" w:ascii="Times New Roman" w:hAnsi="Times New Roman" w:eastAsia="宋体" w:cs="Times New Roman"/>
          <w:color w:val="auto"/>
          <w:sz w:val="24"/>
          <w:szCs w:val="24"/>
          <w:highlight w:val="none"/>
        </w:rPr>
        <w:t>前提交响应文件。</w:t>
      </w:r>
    </w:p>
    <w:p w14:paraId="49A9D39B">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一、项目基本情况</w:t>
      </w:r>
    </w:p>
    <w:p w14:paraId="54920BA7">
      <w:pPr>
        <w:keepNext w:val="0"/>
        <w:keepLines w:val="0"/>
        <w:pageBreakBefore w:val="0"/>
        <w:widowControl w:val="0"/>
        <w:kinsoku/>
        <w:wordWrap/>
        <w:topLinePunct w:val="0"/>
        <w:autoSpaceDE/>
        <w:autoSpaceDN/>
        <w:bidi w:val="0"/>
        <w:spacing w:line="360" w:lineRule="auto"/>
        <w:ind w:firstLine="480" w:firstLineChars="200"/>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1、项目编号：</w:t>
      </w:r>
      <w:r>
        <w:rPr>
          <w:rFonts w:hint="eastAsia" w:ascii="Times New Roman" w:hAnsi="Times New Roman" w:eastAsia="宋体" w:cs="宋体"/>
          <w:color w:val="auto"/>
          <w:sz w:val="24"/>
          <w:szCs w:val="24"/>
          <w:highlight w:val="none"/>
          <w:lang w:val="en-US" w:eastAsia="zh-CN"/>
        </w:rPr>
        <w:t>SY-HXTDHRJ2409003</w:t>
      </w:r>
    </w:p>
    <w:p w14:paraId="1A2D13C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2、项目名称：</w:t>
      </w:r>
      <w:r>
        <w:rPr>
          <w:rFonts w:hint="eastAsia" w:ascii="Times New Roman" w:hAnsi="Times New Roman" w:eastAsia="宋体" w:cs="Times New Roman"/>
          <w:color w:val="auto"/>
          <w:sz w:val="24"/>
          <w:szCs w:val="24"/>
          <w:highlight w:val="none"/>
          <w:lang w:eastAsia="zh-CN"/>
        </w:rPr>
        <w:t>南通市第三人民医院新老中央空调系统管路（二期大楼与4#6#楼）之间增设板式换热机组（第二次）</w:t>
      </w:r>
    </w:p>
    <w:p w14:paraId="099776D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3、采购人式：□竞争性谈判 </w:t>
      </w:r>
      <w:r>
        <w:rPr>
          <w:rFonts w:hint="eastAsia" w:ascii="Times New Roman" w:hAnsi="Times New Roman" w:eastAsia="宋体" w:cs="MS Mincho"/>
          <w:color w:val="auto"/>
          <w:sz w:val="24"/>
          <w:szCs w:val="24"/>
          <w:highlight w:val="none"/>
        </w:rPr>
        <w:t>☑</w:t>
      </w:r>
      <w:r>
        <w:rPr>
          <w:rFonts w:hint="eastAsia" w:ascii="Times New Roman" w:hAnsi="Times New Roman" w:eastAsia="宋体" w:cs="宋体"/>
          <w:color w:val="auto"/>
          <w:sz w:val="24"/>
          <w:szCs w:val="24"/>
          <w:highlight w:val="none"/>
        </w:rPr>
        <w:t>竞争性磋商 □询价</w:t>
      </w:r>
    </w:p>
    <w:p w14:paraId="0BFB2248">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4、预算金额：</w:t>
      </w:r>
      <w:r>
        <w:rPr>
          <w:rFonts w:hint="eastAsia" w:ascii="Times New Roman" w:hAnsi="Times New Roman" w:eastAsia="宋体" w:cs="宋体"/>
          <w:color w:val="auto"/>
          <w:sz w:val="24"/>
          <w:szCs w:val="24"/>
          <w:highlight w:val="none"/>
          <w:lang w:val="en-US" w:eastAsia="zh-CN"/>
        </w:rPr>
        <w:t>27.8</w:t>
      </w:r>
      <w:r>
        <w:rPr>
          <w:rFonts w:hint="eastAsia" w:ascii="Times New Roman" w:hAnsi="Times New Roman" w:eastAsia="宋体" w:cs="宋体"/>
          <w:color w:val="auto"/>
          <w:sz w:val="24"/>
          <w:szCs w:val="24"/>
          <w:highlight w:val="none"/>
        </w:rPr>
        <w:t>万元</w:t>
      </w:r>
    </w:p>
    <w:p w14:paraId="236EEE6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5、</w:t>
      </w:r>
      <w:r>
        <w:rPr>
          <w:rFonts w:hint="eastAsia" w:ascii="Times New Roman" w:hAnsi="Times New Roman" w:eastAsia="宋体" w:cs="宋体"/>
          <w:b/>
          <w:bCs/>
          <w:color w:val="auto"/>
          <w:sz w:val="24"/>
          <w:szCs w:val="24"/>
          <w:highlight w:val="none"/>
        </w:rPr>
        <w:t>最高限价：</w:t>
      </w:r>
      <w:r>
        <w:rPr>
          <w:rFonts w:hint="eastAsia" w:ascii="宋体" w:hAnsi="宋体" w:eastAsia="宋体" w:cs="Times New Roman"/>
          <w:b/>
          <w:bCs/>
          <w:color w:val="auto"/>
          <w:sz w:val="24"/>
          <w:highlight w:val="none"/>
          <w:lang w:val="en-US" w:eastAsia="zh-CN"/>
        </w:rPr>
        <w:t>27.8</w:t>
      </w:r>
      <w:r>
        <w:rPr>
          <w:rFonts w:hint="eastAsia" w:ascii="Times New Roman" w:hAnsi="Times New Roman" w:eastAsia="宋体" w:cs="宋体"/>
          <w:b/>
          <w:bCs/>
          <w:color w:val="auto"/>
          <w:sz w:val="24"/>
          <w:szCs w:val="24"/>
          <w:highlight w:val="none"/>
          <w:u w:val="none"/>
        </w:rPr>
        <w:t>万</w:t>
      </w:r>
      <w:r>
        <w:rPr>
          <w:rFonts w:hint="eastAsia" w:ascii="Times New Roman" w:hAnsi="Times New Roman" w:eastAsia="宋体" w:cs="宋体"/>
          <w:b/>
          <w:bCs/>
          <w:color w:val="auto"/>
          <w:sz w:val="24"/>
          <w:szCs w:val="24"/>
          <w:highlight w:val="none"/>
        </w:rPr>
        <w:t>元</w:t>
      </w:r>
      <w:r>
        <w:rPr>
          <w:rFonts w:hint="eastAsia" w:ascii="Times New Roman" w:hAnsi="Times New Roman" w:eastAsia="宋体" w:cs="仿宋"/>
          <w:b/>
          <w:bCs/>
          <w:color w:val="auto"/>
          <w:sz w:val="24"/>
          <w:szCs w:val="20"/>
          <w:highlight w:val="none"/>
        </w:rPr>
        <w:t>，报价超过最高限价的为无效响应文件；</w:t>
      </w:r>
    </w:p>
    <w:p w14:paraId="2783644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6、采购需求：</w:t>
      </w:r>
      <w:r>
        <w:rPr>
          <w:rFonts w:hint="eastAsia" w:ascii="Times New Roman" w:hAnsi="Times New Roman" w:eastAsia="宋体" w:cs="宋体"/>
          <w:color w:val="auto"/>
          <w:sz w:val="24"/>
          <w:szCs w:val="24"/>
          <w:highlight w:val="none"/>
          <w:lang w:eastAsia="zh-CN"/>
        </w:rPr>
        <w:t>新老中央空调系统管路（二期大楼与4#6#楼）之间增设</w:t>
      </w:r>
      <w:r>
        <w:rPr>
          <w:rFonts w:hint="eastAsia" w:ascii="Times New Roman" w:hAnsi="Times New Roman" w:eastAsia="宋体" w:cs="宋体"/>
          <w:color w:val="auto"/>
          <w:sz w:val="24"/>
          <w:szCs w:val="24"/>
          <w:highlight w:val="none"/>
          <w:lang w:val="en-US" w:eastAsia="zh-CN"/>
        </w:rPr>
        <w:t>1套</w:t>
      </w:r>
      <w:r>
        <w:rPr>
          <w:rFonts w:hint="eastAsia" w:ascii="Times New Roman" w:hAnsi="Times New Roman" w:eastAsia="宋体" w:cs="宋体"/>
          <w:color w:val="auto"/>
          <w:sz w:val="24"/>
          <w:szCs w:val="24"/>
          <w:highlight w:val="none"/>
          <w:lang w:eastAsia="zh-CN"/>
        </w:rPr>
        <w:t>板式换热机组，具体内容详见竞争性磋商文件第三章项目需求。</w:t>
      </w:r>
    </w:p>
    <w:p w14:paraId="2BE8C299">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val="0"/>
          <w:bCs w:val="0"/>
          <w:color w:val="auto"/>
          <w:sz w:val="24"/>
          <w:szCs w:val="24"/>
          <w:highlight w:val="none"/>
          <w:lang w:val="zh-CN" w:eastAsia="zh-CN"/>
        </w:rPr>
      </w:pPr>
      <w:r>
        <w:rPr>
          <w:rFonts w:hint="eastAsia" w:ascii="Times New Roman" w:hAnsi="Times New Roman" w:eastAsia="宋体" w:cs="宋体"/>
          <w:b/>
          <w:bCs/>
          <w:color w:val="auto"/>
          <w:sz w:val="24"/>
          <w:szCs w:val="24"/>
          <w:highlight w:val="none"/>
        </w:rPr>
        <w:t>7、</w:t>
      </w:r>
      <w:r>
        <w:rPr>
          <w:rFonts w:hint="eastAsia" w:ascii="Times New Roman" w:hAnsi="Times New Roman" w:eastAsia="宋体" w:cs="宋体"/>
          <w:b/>
          <w:bCs/>
          <w:color w:val="auto"/>
          <w:sz w:val="24"/>
          <w:szCs w:val="24"/>
          <w:highlight w:val="none"/>
          <w:lang w:eastAsia="zh-CN"/>
        </w:rPr>
        <w:t>合同履行期限</w:t>
      </w:r>
      <w:r>
        <w:rPr>
          <w:rFonts w:hint="eastAsia" w:ascii="Times New Roman" w:hAnsi="Times New Roman" w:eastAsia="宋体" w:cs="宋体"/>
          <w:b w:val="0"/>
          <w:bCs w:val="0"/>
          <w:color w:val="auto"/>
          <w:sz w:val="24"/>
          <w:szCs w:val="24"/>
          <w:highlight w:val="none"/>
        </w:rPr>
        <w:t>：合同签订后</w:t>
      </w:r>
      <w:r>
        <w:rPr>
          <w:rFonts w:hint="eastAsia" w:ascii="Times New Roman" w:hAnsi="Times New Roman" w:eastAsia="宋体" w:cs="宋体"/>
          <w:b w:val="0"/>
          <w:bCs w:val="0"/>
          <w:color w:val="auto"/>
          <w:sz w:val="24"/>
          <w:szCs w:val="24"/>
          <w:highlight w:val="none"/>
          <w:lang w:val="en-US" w:eastAsia="zh-CN"/>
        </w:rPr>
        <w:t>30</w:t>
      </w:r>
      <w:r>
        <w:rPr>
          <w:rFonts w:hint="eastAsia" w:ascii="Times New Roman" w:hAnsi="Times New Roman" w:eastAsia="宋体" w:cs="宋体"/>
          <w:b w:val="0"/>
          <w:bCs w:val="0"/>
          <w:color w:val="auto"/>
          <w:sz w:val="24"/>
          <w:szCs w:val="24"/>
          <w:highlight w:val="none"/>
        </w:rPr>
        <w:t>天内完成供货、安装调试并经验收合格。</w:t>
      </w:r>
    </w:p>
    <w:p w14:paraId="5FDE01E6">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8、本项目不接受联合体。</w:t>
      </w:r>
    </w:p>
    <w:p w14:paraId="3680559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二、申请人的资格要求</w:t>
      </w:r>
    </w:p>
    <w:p w14:paraId="50454A6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1、符合《中华人民共和国政府采购法》第二十二条规定，并提供声明函：</w:t>
      </w:r>
    </w:p>
    <w:p w14:paraId="240208D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（1）具有独立承担民事责任的能力；</w:t>
      </w:r>
    </w:p>
    <w:p w14:paraId="51A1B4B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（2）具有良好的商业信誉和健全的财务会计制度；</w:t>
      </w:r>
    </w:p>
    <w:p w14:paraId="0E28A25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（3）具有履行合同所必需的设备和专业技术能力；</w:t>
      </w:r>
    </w:p>
    <w:p w14:paraId="12591A9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（4）有依法缴纳税收和社会保障资金的良好记录；</w:t>
      </w:r>
    </w:p>
    <w:p w14:paraId="0BC7FBF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（5）参加政府采购活动前三年内，在经营活动中没有重大违法记录；</w:t>
      </w:r>
    </w:p>
    <w:p w14:paraId="2AC9B18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（6）法律、行政法规规定的其他条件。</w:t>
      </w:r>
    </w:p>
    <w:p w14:paraId="04229FCD">
      <w:pPr>
        <w:keepNext w:val="0"/>
        <w:keepLines w:val="0"/>
        <w:pageBreakBefore w:val="0"/>
        <w:widowControl w:val="0"/>
        <w:kinsoku/>
        <w:wordWrap/>
        <w:topLinePunct w:val="0"/>
        <w:autoSpaceDE/>
        <w:autoSpaceDN/>
        <w:bidi w:val="0"/>
        <w:spacing w:line="360" w:lineRule="auto"/>
        <w:ind w:firstLine="482"/>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2、落实政府采购政策需满足的资格要求：</w:t>
      </w:r>
      <w:r>
        <w:rPr>
          <w:rFonts w:hint="eastAsia" w:ascii="Times New Roman" w:hAnsi="Times New Roman" w:eastAsia="宋体" w:cs="宋体"/>
          <w:color w:val="auto"/>
          <w:sz w:val="24"/>
          <w:szCs w:val="24"/>
          <w:highlight w:val="none"/>
          <w:u w:val="single"/>
          <w:lang w:eastAsia="zh-CN"/>
        </w:rPr>
        <w:t>无</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eastAsia="宋体" w:cs="宋体"/>
          <w:color w:val="auto"/>
          <w:sz w:val="24"/>
          <w:szCs w:val="24"/>
          <w:highlight w:val="none"/>
          <w:lang w:eastAsia="zh-CN"/>
        </w:rPr>
        <w:t>。</w:t>
      </w:r>
    </w:p>
    <w:p w14:paraId="5A400B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3、本项目的特定资格要求：</w:t>
      </w:r>
    </w:p>
    <w:p w14:paraId="3810257C">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r>
        <w:rPr>
          <w:rFonts w:hint="eastAsia" w:eastAsia="宋体"/>
          <w:bCs/>
          <w:color w:val="auto"/>
          <w:sz w:val="24"/>
          <w:szCs w:val="24"/>
          <w:highlight w:val="none"/>
        </w:rPr>
        <w:t>供应商须具有独立法人资格，具有有效的营业执照，有能力按本</w:t>
      </w:r>
      <w:r>
        <w:rPr>
          <w:rFonts w:hint="eastAsia" w:eastAsia="宋体"/>
          <w:bCs/>
          <w:color w:val="auto"/>
          <w:sz w:val="24"/>
          <w:szCs w:val="24"/>
          <w:highlight w:val="none"/>
          <w:lang w:eastAsia="zh-CN"/>
        </w:rPr>
        <w:t>采购</w:t>
      </w:r>
      <w:r>
        <w:rPr>
          <w:rFonts w:hint="eastAsia" w:eastAsia="宋体"/>
          <w:bCs/>
          <w:color w:val="auto"/>
          <w:sz w:val="24"/>
          <w:szCs w:val="24"/>
          <w:highlight w:val="none"/>
        </w:rPr>
        <w:t>文件规定的要求提供</w:t>
      </w:r>
      <w:r>
        <w:rPr>
          <w:rFonts w:hint="eastAsia" w:eastAsia="宋体"/>
          <w:bCs/>
          <w:color w:val="auto"/>
          <w:sz w:val="24"/>
          <w:szCs w:val="24"/>
          <w:highlight w:val="none"/>
          <w:lang w:eastAsia="zh-CN"/>
        </w:rPr>
        <w:t>采购</w:t>
      </w:r>
      <w:r>
        <w:rPr>
          <w:rFonts w:hint="eastAsia" w:eastAsia="宋体"/>
          <w:bCs/>
          <w:color w:val="auto"/>
          <w:sz w:val="24"/>
          <w:szCs w:val="24"/>
          <w:highlight w:val="none"/>
        </w:rPr>
        <w:t>物及提供相关伴随服务能力的制造商或经销商（代理商）</w:t>
      </w:r>
      <w:r>
        <w:rPr>
          <w:rFonts w:hint="eastAsia" w:cs="Arial"/>
          <w:bCs/>
          <w:color w:val="auto"/>
          <w:kern w:val="0"/>
          <w:sz w:val="24"/>
          <w:highlight w:val="none"/>
        </w:rPr>
        <w:t>；</w:t>
      </w:r>
    </w:p>
    <w:p w14:paraId="00035F5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rPr>
        <w:t>（2）法定代表人参加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的，必须提供法定代表人身份证明及法定代表人本人身份证两项复印件（须加盖单位公章）；非法定代表人参加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的，必须提供法定代表人签字或印章的授权委托书及被授权人本人身份证两项复印件</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rPr>
        <w:t>（须加盖单位公章）</w:t>
      </w:r>
      <w:r>
        <w:rPr>
          <w:rFonts w:hint="eastAsia" w:ascii="Times New Roman" w:hAnsi="Times New Roman" w:eastAsia="宋体"/>
          <w:color w:val="auto"/>
          <w:sz w:val="24"/>
          <w:szCs w:val="24"/>
          <w:highlight w:val="none"/>
          <w:lang w:val="en-US" w:eastAsia="zh-CN"/>
        </w:rPr>
        <w:t xml:space="preserve">   </w:t>
      </w:r>
    </w:p>
    <w:p w14:paraId="60884909">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4、未被“信用中国”网站（www.creditchina.gov.cn）列入失信被执行人、重大税收违法案件当事人名单、政府采购严重失信行为记录名单。</w:t>
      </w:r>
    </w:p>
    <w:p w14:paraId="4EE0DDC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lang w:val="zh-CN"/>
        </w:rPr>
      </w:pPr>
      <w:r>
        <w:rPr>
          <w:rFonts w:hint="eastAsia" w:ascii="Times New Roman" w:hAnsi="Times New Roman" w:eastAsia="宋体"/>
          <w:b/>
          <w:color w:val="auto"/>
          <w:sz w:val="24"/>
          <w:szCs w:val="24"/>
          <w:highlight w:val="none"/>
          <w:lang w:val="zh-CN"/>
        </w:rPr>
        <w:t>具体资格要求详见第</w:t>
      </w:r>
      <w:r>
        <w:rPr>
          <w:rFonts w:hint="eastAsia" w:ascii="Times New Roman" w:hAnsi="Times New Roman" w:eastAsia="宋体"/>
          <w:b/>
          <w:color w:val="auto"/>
          <w:sz w:val="24"/>
          <w:szCs w:val="24"/>
          <w:highlight w:val="none"/>
        </w:rPr>
        <w:t>七</w:t>
      </w:r>
      <w:r>
        <w:rPr>
          <w:rFonts w:hint="eastAsia" w:ascii="Times New Roman" w:hAnsi="Times New Roman" w:eastAsia="宋体"/>
          <w:b/>
          <w:color w:val="auto"/>
          <w:sz w:val="24"/>
          <w:szCs w:val="24"/>
          <w:highlight w:val="none"/>
          <w:lang w:val="zh-CN"/>
        </w:rPr>
        <w:t>章中的“资格审查文件”。</w:t>
      </w:r>
    </w:p>
    <w:p w14:paraId="666DDEE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bookmarkStart w:id="0" w:name="_Toc35393623"/>
      <w:bookmarkStart w:id="1" w:name="_Toc35393792"/>
      <w:r>
        <w:rPr>
          <w:rFonts w:hint="eastAsia" w:ascii="Times New Roman" w:hAnsi="Times New Roman" w:eastAsia="宋体" w:cs="宋体"/>
          <w:b/>
          <w:color w:val="auto"/>
          <w:kern w:val="0"/>
          <w:sz w:val="24"/>
          <w:szCs w:val="24"/>
          <w:highlight w:val="none"/>
        </w:rPr>
        <w:t>三、获取采购文件</w:t>
      </w:r>
      <w:bookmarkEnd w:id="0"/>
      <w:bookmarkEnd w:id="1"/>
      <w:r>
        <w:rPr>
          <w:rFonts w:hint="eastAsia" w:ascii="Times New Roman" w:hAnsi="Times New Roman" w:eastAsia="宋体" w:cs="宋体"/>
          <w:b/>
          <w:color w:val="auto"/>
          <w:kern w:val="0"/>
          <w:sz w:val="24"/>
          <w:szCs w:val="24"/>
          <w:highlight w:val="none"/>
        </w:rPr>
        <w:t>及投标报名</w:t>
      </w:r>
    </w:p>
    <w:p w14:paraId="2DB55DC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bookmarkStart w:id="2" w:name="_Toc28359005"/>
      <w:bookmarkStart w:id="3" w:name="_Toc35393793"/>
      <w:bookmarkStart w:id="4" w:name="_Toc35393624"/>
      <w:bookmarkStart w:id="5" w:name="_Toc28359082"/>
      <w:r>
        <w:rPr>
          <w:rFonts w:hint="eastAsia" w:ascii="Times New Roman" w:hAnsi="Times New Roman" w:eastAsia="宋体" w:cs="宋体"/>
          <w:color w:val="auto"/>
          <w:sz w:val="24"/>
          <w:szCs w:val="24"/>
          <w:highlight w:val="none"/>
        </w:rPr>
        <w:t>1、时间：</w:t>
      </w:r>
      <w:r>
        <w:rPr>
          <w:rFonts w:hint="eastAsia" w:ascii="Times New Roman" w:hAnsi="Times New Roman" w:eastAsia="宋体" w:cs="宋体"/>
          <w:color w:val="auto"/>
          <w:sz w:val="24"/>
          <w:szCs w:val="24"/>
          <w:highlight w:val="none"/>
          <w:u w:val="single"/>
        </w:rPr>
        <w:t>自本磋商公告发布之日起至202</w:t>
      </w:r>
      <w:r>
        <w:rPr>
          <w:rFonts w:hint="eastAsia" w:ascii="Times New Roman" w:hAnsi="Times New Roman" w:eastAsia="宋体" w:cs="宋体"/>
          <w:color w:val="auto"/>
          <w:sz w:val="24"/>
          <w:szCs w:val="24"/>
          <w:highlight w:val="none"/>
          <w:u w:val="single"/>
          <w:lang w:val="en-US" w:eastAsia="zh-CN"/>
        </w:rPr>
        <w:t>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10</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25</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w:t>
      </w:r>
      <w:r>
        <w:rPr>
          <w:rFonts w:hint="eastAsia" w:ascii="Times New Roman" w:hAnsi="Times New Roman" w:eastAsia="宋体" w:cs="宋体"/>
          <w:bCs/>
          <w:color w:val="auto"/>
          <w:sz w:val="24"/>
          <w:szCs w:val="24"/>
          <w:highlight w:val="none"/>
          <w:u w:val="single"/>
          <w:lang w:val="en-US" w:eastAsia="zh-CN"/>
        </w:rPr>
        <w:t>30</w:t>
      </w:r>
      <w:r>
        <w:rPr>
          <w:rFonts w:hint="eastAsia" w:ascii="Times New Roman" w:hAnsi="Times New Roman" w:eastAsia="宋体" w:cs="宋体"/>
          <w:bCs/>
          <w:color w:val="auto"/>
          <w:sz w:val="24"/>
          <w:szCs w:val="24"/>
          <w:highlight w:val="none"/>
          <w:u w:val="single"/>
        </w:rPr>
        <w:t>分</w:t>
      </w:r>
      <w:r>
        <w:rPr>
          <w:rFonts w:hint="eastAsia" w:ascii="Times New Roman" w:hAnsi="Times New Roman" w:eastAsia="宋体" w:cs="宋体"/>
          <w:color w:val="auto"/>
          <w:sz w:val="24"/>
          <w:szCs w:val="24"/>
          <w:highlight w:val="none"/>
        </w:rPr>
        <w:t>（北京时间）。</w:t>
      </w:r>
    </w:p>
    <w:p w14:paraId="3C3B874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2、方式：在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南通市第三人民医院</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官网自行下载采购文件。</w:t>
      </w:r>
    </w:p>
    <w:p w14:paraId="3D01948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3、售价：300元/份，</w:t>
      </w:r>
      <w:r>
        <w:rPr>
          <w:rFonts w:hint="eastAsia" w:ascii="Times New Roman" w:hAnsi="Times New Roman" w:eastAsia="宋体" w:cs="宋体"/>
          <w:color w:val="auto"/>
          <w:sz w:val="24"/>
          <w:szCs w:val="24"/>
          <w:highlight w:val="none"/>
          <w:lang w:eastAsia="zh-CN"/>
        </w:rPr>
        <w:t>报名时递交给采购代理机构</w:t>
      </w:r>
      <w:r>
        <w:rPr>
          <w:rFonts w:hint="eastAsia" w:ascii="Times New Roman" w:hAnsi="Times New Roman" w:eastAsia="宋体" w:cs="宋体"/>
          <w:color w:val="auto"/>
          <w:sz w:val="24"/>
          <w:szCs w:val="24"/>
          <w:highlight w:val="none"/>
        </w:rPr>
        <w:t>，售后不退。</w:t>
      </w:r>
    </w:p>
    <w:p w14:paraId="2D1C10D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4、报名方式：请有意参与本项目</w:t>
      </w:r>
      <w:r>
        <w:rPr>
          <w:rFonts w:hint="eastAsia" w:ascii="Times New Roman" w:hAnsi="Times New Roman" w:eastAsia="宋体" w:cs="宋体"/>
          <w:b/>
          <w:color w:val="auto"/>
          <w:sz w:val="24"/>
          <w:szCs w:val="24"/>
          <w:highlight w:val="none"/>
          <w:lang w:eastAsia="zh-CN"/>
        </w:rPr>
        <w:t>响应</w:t>
      </w:r>
      <w:r>
        <w:rPr>
          <w:rFonts w:hint="eastAsia" w:ascii="Times New Roman" w:hAnsi="Times New Roman" w:eastAsia="宋体" w:cs="宋体"/>
          <w:b/>
          <w:color w:val="auto"/>
          <w:sz w:val="24"/>
          <w:szCs w:val="24"/>
          <w:highlight w:val="none"/>
        </w:rPr>
        <w:t>的供应商于202</w:t>
      </w:r>
      <w:r>
        <w:rPr>
          <w:rFonts w:hint="eastAsia" w:ascii="Times New Roman" w:hAnsi="Times New Roman" w:eastAsia="宋体" w:cs="宋体"/>
          <w:b/>
          <w:color w:val="auto"/>
          <w:sz w:val="24"/>
          <w:szCs w:val="24"/>
          <w:highlight w:val="none"/>
          <w:lang w:val="en-US" w:eastAsia="zh-CN"/>
        </w:rPr>
        <w:t>4</w:t>
      </w:r>
      <w:r>
        <w:rPr>
          <w:rFonts w:hint="eastAsia" w:ascii="Times New Roman" w:hAnsi="Times New Roman" w:eastAsia="宋体" w:cs="宋体"/>
          <w:b/>
          <w:color w:val="auto"/>
          <w:sz w:val="24"/>
          <w:szCs w:val="24"/>
          <w:highlight w:val="none"/>
        </w:rPr>
        <w:t>年</w:t>
      </w:r>
      <w:r>
        <w:rPr>
          <w:rFonts w:hint="eastAsia" w:ascii="Times New Roman" w:hAnsi="Times New Roman" w:eastAsia="宋体" w:cs="宋体"/>
          <w:b/>
          <w:color w:val="auto"/>
          <w:sz w:val="24"/>
          <w:szCs w:val="24"/>
          <w:highlight w:val="none"/>
          <w:lang w:val="en-US" w:eastAsia="zh-CN"/>
        </w:rPr>
        <w:t>10</w:t>
      </w:r>
      <w:r>
        <w:rPr>
          <w:rFonts w:hint="eastAsia" w:ascii="Times New Roman" w:hAnsi="Times New Roman" w:eastAsia="宋体" w:cs="宋体"/>
          <w:b/>
          <w:color w:val="auto"/>
          <w:sz w:val="24"/>
          <w:szCs w:val="24"/>
          <w:highlight w:val="none"/>
        </w:rPr>
        <w:t>月</w:t>
      </w:r>
      <w:r>
        <w:rPr>
          <w:rFonts w:hint="eastAsia" w:ascii="Times New Roman" w:hAnsi="Times New Roman" w:eastAsia="宋体" w:cs="宋体"/>
          <w:b/>
          <w:color w:val="auto"/>
          <w:sz w:val="24"/>
          <w:szCs w:val="24"/>
          <w:highlight w:val="none"/>
          <w:lang w:val="en-US" w:eastAsia="zh-CN"/>
        </w:rPr>
        <w:t>25</w:t>
      </w:r>
      <w:r>
        <w:rPr>
          <w:rFonts w:hint="eastAsia" w:ascii="Times New Roman" w:hAnsi="Times New Roman" w:eastAsia="宋体" w:cs="宋体"/>
          <w:b/>
          <w:color w:val="auto"/>
          <w:sz w:val="24"/>
          <w:szCs w:val="24"/>
          <w:highlight w:val="none"/>
        </w:rPr>
        <w:t>日</w:t>
      </w:r>
      <w:r>
        <w:rPr>
          <w:rFonts w:hint="eastAsia" w:ascii="Times New Roman" w:hAnsi="Times New Roman" w:eastAsia="宋体" w:cs="宋体"/>
          <w:b/>
          <w:color w:val="auto"/>
          <w:sz w:val="24"/>
          <w:szCs w:val="24"/>
          <w:highlight w:val="none"/>
          <w:lang w:val="en-US" w:eastAsia="zh-CN"/>
        </w:rPr>
        <w:t>11</w:t>
      </w:r>
      <w:r>
        <w:rPr>
          <w:rFonts w:hint="eastAsia" w:ascii="Times New Roman" w:hAnsi="Times New Roman" w:eastAsia="宋体" w:cs="宋体"/>
          <w:b/>
          <w:color w:val="auto"/>
          <w:sz w:val="24"/>
          <w:szCs w:val="24"/>
          <w:highlight w:val="none"/>
        </w:rPr>
        <w:t>时00分前</w:t>
      </w:r>
      <w:r>
        <w:rPr>
          <w:rFonts w:hint="eastAsia" w:ascii="Times New Roman" w:hAnsi="Times New Roman" w:eastAsia="宋体" w:cs="宋体"/>
          <w:b/>
          <w:color w:val="auto"/>
          <w:sz w:val="24"/>
          <w:szCs w:val="24"/>
          <w:highlight w:val="none"/>
          <w:lang w:eastAsia="zh-CN"/>
        </w:rPr>
        <w:t>联系</w:t>
      </w:r>
      <w:r>
        <w:rPr>
          <w:rFonts w:hint="eastAsia" w:ascii="Times New Roman" w:hAnsi="Times New Roman" w:eastAsia="宋体" w:cs="宋体"/>
          <w:b/>
          <w:color w:val="auto"/>
          <w:sz w:val="24"/>
          <w:szCs w:val="24"/>
          <w:highlight w:val="none"/>
        </w:rPr>
        <w:t>代理机构报名</w:t>
      </w:r>
      <w:r>
        <w:rPr>
          <w:rFonts w:hint="eastAsia" w:ascii="Times New Roman" w:hAnsi="Times New Roman" w:eastAsia="宋体" w:cs="宋体"/>
          <w:b/>
          <w:bCs w:val="0"/>
          <w:color w:val="auto"/>
          <w:sz w:val="24"/>
          <w:szCs w:val="24"/>
          <w:highlight w:val="none"/>
          <w:lang w:eastAsia="zh-CN"/>
        </w:rPr>
        <w:t>（联系人：</w:t>
      </w:r>
      <w:r>
        <w:rPr>
          <w:rFonts w:hint="eastAsia" w:ascii="Times New Roman" w:hAnsi="Times New Roman" w:eastAsia="宋体"/>
          <w:b/>
          <w:bCs w:val="0"/>
          <w:color w:val="auto"/>
          <w:sz w:val="24"/>
          <w:szCs w:val="24"/>
          <w:highlight w:val="none"/>
        </w:rPr>
        <w:t>董安国</w:t>
      </w:r>
      <w:r>
        <w:rPr>
          <w:rFonts w:hint="eastAsia" w:ascii="Times New Roman" w:hAnsi="Times New Roman" w:eastAsia="宋体"/>
          <w:b/>
          <w:bCs w:val="0"/>
          <w:color w:val="auto"/>
          <w:sz w:val="24"/>
          <w:szCs w:val="24"/>
          <w:highlight w:val="none"/>
          <w:lang w:eastAsia="zh-CN"/>
        </w:rPr>
        <w:t>，</w:t>
      </w:r>
      <w:r>
        <w:rPr>
          <w:rFonts w:hint="eastAsia" w:ascii="Times New Roman" w:hAnsi="Times New Roman" w:eastAsia="宋体"/>
          <w:b/>
          <w:bCs w:val="0"/>
          <w:color w:val="auto"/>
          <w:sz w:val="24"/>
          <w:szCs w:val="24"/>
          <w:highlight w:val="none"/>
        </w:rPr>
        <w:t>联系电话：</w:t>
      </w:r>
      <w:r>
        <w:rPr>
          <w:rFonts w:hint="eastAsia" w:ascii="Times New Roman" w:hAnsi="Times New Roman" w:eastAsia="宋体" w:cs="宋体"/>
          <w:b/>
          <w:bCs w:val="0"/>
          <w:color w:val="auto"/>
          <w:kern w:val="0"/>
          <w:sz w:val="24"/>
          <w:highlight w:val="none"/>
        </w:rPr>
        <w:t>18912299056</w:t>
      </w:r>
      <w:r>
        <w:rPr>
          <w:rFonts w:hint="eastAsia" w:ascii="Times New Roman" w:hAnsi="Times New Roman" w:eastAsia="宋体" w:cs="宋体"/>
          <w:b/>
          <w:bCs w:val="0"/>
          <w:color w:val="auto"/>
          <w:kern w:val="0"/>
          <w:sz w:val="24"/>
          <w:highlight w:val="none"/>
          <w:lang w:eastAsia="zh-CN"/>
        </w:rPr>
        <w:t>，</w:t>
      </w:r>
      <w:r>
        <w:rPr>
          <w:rFonts w:hint="eastAsia" w:ascii="Times New Roman" w:hAnsi="Times New Roman" w:eastAsia="宋体" w:cs="宋体"/>
          <w:b/>
          <w:bCs w:val="0"/>
          <w:color w:val="auto"/>
          <w:kern w:val="0"/>
          <w:sz w:val="24"/>
          <w:highlight w:val="none"/>
        </w:rPr>
        <w:t>邮箱：812298892@qq.com</w:t>
      </w:r>
      <w:r>
        <w:rPr>
          <w:rFonts w:hint="eastAsia" w:ascii="Times New Roman" w:hAnsi="Times New Roman" w:eastAsia="宋体" w:cs="宋体"/>
          <w:b/>
          <w:bCs w:val="0"/>
          <w:color w:val="auto"/>
          <w:sz w:val="24"/>
          <w:szCs w:val="24"/>
          <w:highlight w:val="none"/>
          <w:lang w:eastAsia="zh-CN"/>
        </w:rPr>
        <w:t>）</w:t>
      </w:r>
      <w:r>
        <w:rPr>
          <w:rFonts w:hint="eastAsia" w:ascii="Times New Roman" w:hAnsi="Times New Roman" w:eastAsia="宋体" w:cs="宋体"/>
          <w:b/>
          <w:color w:val="auto"/>
          <w:sz w:val="24"/>
          <w:szCs w:val="24"/>
          <w:highlight w:val="none"/>
        </w:rPr>
        <w:t>，未报名单位不得参加本项目的</w:t>
      </w:r>
      <w:r>
        <w:rPr>
          <w:rFonts w:hint="eastAsia" w:ascii="Times New Roman" w:hAnsi="Times New Roman" w:eastAsia="宋体" w:cs="宋体"/>
          <w:b/>
          <w:color w:val="auto"/>
          <w:sz w:val="24"/>
          <w:szCs w:val="24"/>
          <w:highlight w:val="none"/>
          <w:lang w:eastAsia="zh-CN"/>
        </w:rPr>
        <w:t>响应</w:t>
      </w:r>
      <w:r>
        <w:rPr>
          <w:rFonts w:hint="eastAsia" w:ascii="Times New Roman" w:hAnsi="Times New Roman" w:eastAsia="宋体" w:cs="宋体"/>
          <w:b/>
          <w:color w:val="auto"/>
          <w:sz w:val="24"/>
          <w:szCs w:val="24"/>
          <w:highlight w:val="none"/>
        </w:rPr>
        <w:t>。</w:t>
      </w:r>
    </w:p>
    <w:bookmarkEnd w:id="2"/>
    <w:bookmarkEnd w:id="3"/>
    <w:bookmarkEnd w:id="4"/>
    <w:bookmarkEnd w:id="5"/>
    <w:p w14:paraId="3D073BB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bookmarkStart w:id="6" w:name="_Toc28359084"/>
      <w:bookmarkStart w:id="7" w:name="_Toc35393625"/>
      <w:bookmarkStart w:id="8" w:name="_Toc28359007"/>
      <w:bookmarkStart w:id="9" w:name="_Toc35393794"/>
      <w:r>
        <w:rPr>
          <w:rFonts w:hint="eastAsia" w:ascii="Times New Roman" w:hAnsi="Times New Roman" w:eastAsia="宋体" w:cs="宋体"/>
          <w:b/>
          <w:color w:val="auto"/>
          <w:kern w:val="0"/>
          <w:sz w:val="24"/>
          <w:szCs w:val="24"/>
          <w:highlight w:val="none"/>
        </w:rPr>
        <w:t>四、响应文件提交</w:t>
      </w:r>
    </w:p>
    <w:p w14:paraId="206C519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1、提交响应文件截止时间：</w:t>
      </w:r>
      <w:r>
        <w:rPr>
          <w:rFonts w:hint="eastAsia" w:ascii="Times New Roman" w:hAnsi="Times New Roman" w:eastAsia="宋体" w:cs="宋体"/>
          <w:color w:val="auto"/>
          <w:sz w:val="24"/>
          <w:szCs w:val="24"/>
          <w:highlight w:val="none"/>
          <w:u w:val="single"/>
        </w:rPr>
        <w:t>202</w:t>
      </w:r>
      <w:r>
        <w:rPr>
          <w:rFonts w:hint="eastAsia" w:ascii="Times New Roman" w:hAnsi="Times New Roman" w:eastAsia="宋体" w:cs="宋体"/>
          <w:color w:val="auto"/>
          <w:sz w:val="24"/>
          <w:szCs w:val="24"/>
          <w:highlight w:val="none"/>
          <w:u w:val="single"/>
          <w:lang w:val="en-US" w:eastAsia="zh-CN"/>
        </w:rPr>
        <w:t>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10</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25</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w:t>
      </w:r>
      <w:r>
        <w:rPr>
          <w:rFonts w:hint="eastAsia" w:ascii="Times New Roman" w:hAnsi="Times New Roman" w:eastAsia="宋体" w:cs="宋体"/>
          <w:bCs/>
          <w:color w:val="auto"/>
          <w:sz w:val="24"/>
          <w:szCs w:val="24"/>
          <w:highlight w:val="none"/>
          <w:u w:val="single"/>
          <w:lang w:val="en-US" w:eastAsia="zh-CN"/>
        </w:rPr>
        <w:t>30</w:t>
      </w:r>
      <w:r>
        <w:rPr>
          <w:rFonts w:hint="eastAsia" w:ascii="Times New Roman" w:hAnsi="Times New Roman" w:eastAsia="宋体" w:cs="宋体"/>
          <w:bCs/>
          <w:color w:val="auto"/>
          <w:sz w:val="24"/>
          <w:szCs w:val="24"/>
          <w:highlight w:val="none"/>
          <w:u w:val="single"/>
        </w:rPr>
        <w:t>分</w:t>
      </w:r>
      <w:r>
        <w:rPr>
          <w:rFonts w:hint="eastAsia" w:ascii="Times New Roman" w:hAnsi="Times New Roman" w:eastAsia="宋体" w:cs="宋体"/>
          <w:color w:val="auto"/>
          <w:sz w:val="24"/>
          <w:szCs w:val="24"/>
          <w:highlight w:val="none"/>
        </w:rPr>
        <w:t>（北京时间）。</w:t>
      </w:r>
      <w:r>
        <w:rPr>
          <w:rFonts w:hint="eastAsia" w:ascii="Times New Roman" w:hAnsi="Times New Roman" w:eastAsia="宋体"/>
          <w:color w:val="auto"/>
          <w:sz w:val="24"/>
          <w:highlight w:val="none"/>
        </w:rPr>
        <w:t>逾时，采购人将拒绝接受响应文件纸质文档。</w:t>
      </w:r>
    </w:p>
    <w:p w14:paraId="31FA91AD">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2、提交响应文件地点：</w:t>
      </w:r>
      <w:r>
        <w:rPr>
          <w:rFonts w:hint="eastAsia" w:ascii="Times New Roman" w:hAnsi="Times New Roman" w:eastAsia="宋体" w:cs="Times New Roman"/>
          <w:color w:val="auto"/>
          <w:sz w:val="24"/>
          <w:szCs w:val="24"/>
          <w:highlight w:val="none"/>
          <w:u w:val="single"/>
          <w:lang w:eastAsia="zh-CN"/>
        </w:rPr>
        <w:t>南通市崇川区江海大道488号金贸国际25楼（宏信天德工程顾问有限公司开标室）</w:t>
      </w:r>
      <w:r>
        <w:rPr>
          <w:rFonts w:hint="eastAsia" w:ascii="Times New Roman" w:hAnsi="Times New Roman" w:eastAsia="宋体" w:cs="宋体"/>
          <w:color w:val="auto"/>
          <w:sz w:val="24"/>
          <w:szCs w:val="24"/>
          <w:highlight w:val="none"/>
        </w:rPr>
        <w:t>，如有变动另行通知。</w:t>
      </w:r>
    </w:p>
    <w:p w14:paraId="0CFEAE89">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五、开启</w:t>
      </w:r>
    </w:p>
    <w:p w14:paraId="5849BDD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1、时间：</w:t>
      </w:r>
      <w:r>
        <w:rPr>
          <w:rFonts w:hint="eastAsia" w:ascii="Times New Roman" w:hAnsi="Times New Roman" w:eastAsia="宋体" w:cs="宋体"/>
          <w:color w:val="auto"/>
          <w:sz w:val="24"/>
          <w:szCs w:val="24"/>
          <w:highlight w:val="none"/>
          <w:u w:val="single"/>
        </w:rPr>
        <w:t>202</w:t>
      </w:r>
      <w:r>
        <w:rPr>
          <w:rFonts w:hint="eastAsia" w:ascii="Times New Roman" w:hAnsi="Times New Roman" w:eastAsia="宋体" w:cs="宋体"/>
          <w:color w:val="auto"/>
          <w:sz w:val="24"/>
          <w:szCs w:val="24"/>
          <w:highlight w:val="none"/>
          <w:u w:val="single"/>
          <w:lang w:val="en-US" w:eastAsia="zh-CN"/>
        </w:rPr>
        <w:t>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10</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25</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w:t>
      </w:r>
      <w:r>
        <w:rPr>
          <w:rFonts w:hint="eastAsia" w:ascii="Times New Roman" w:hAnsi="Times New Roman" w:eastAsia="宋体" w:cs="宋体"/>
          <w:bCs/>
          <w:color w:val="auto"/>
          <w:sz w:val="24"/>
          <w:szCs w:val="24"/>
          <w:highlight w:val="none"/>
          <w:u w:val="single"/>
          <w:lang w:val="en-US" w:eastAsia="zh-CN"/>
        </w:rPr>
        <w:t>30</w:t>
      </w:r>
      <w:r>
        <w:rPr>
          <w:rFonts w:hint="eastAsia" w:ascii="Times New Roman" w:hAnsi="Times New Roman" w:eastAsia="宋体" w:cs="宋体"/>
          <w:bCs/>
          <w:color w:val="auto"/>
          <w:sz w:val="24"/>
          <w:szCs w:val="24"/>
          <w:highlight w:val="none"/>
          <w:u w:val="single"/>
        </w:rPr>
        <w:t>分</w:t>
      </w:r>
      <w:r>
        <w:rPr>
          <w:rFonts w:hint="eastAsia" w:ascii="Times New Roman" w:hAnsi="Times New Roman" w:eastAsia="宋体" w:cs="宋体"/>
          <w:color w:val="auto"/>
          <w:sz w:val="24"/>
          <w:szCs w:val="24"/>
          <w:highlight w:val="none"/>
        </w:rPr>
        <w:t>（北京时间）。</w:t>
      </w:r>
    </w:p>
    <w:p w14:paraId="1C27D16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2、开启文件及开标地点：</w:t>
      </w:r>
      <w:r>
        <w:rPr>
          <w:rFonts w:hint="eastAsia" w:ascii="Times New Roman" w:hAnsi="Times New Roman" w:eastAsia="宋体" w:cs="Times New Roman"/>
          <w:color w:val="auto"/>
          <w:sz w:val="24"/>
          <w:szCs w:val="24"/>
          <w:highlight w:val="none"/>
          <w:u w:val="single"/>
          <w:lang w:eastAsia="zh-CN"/>
        </w:rPr>
        <w:t>南通市崇川区江海大道488号金贸国际25楼（宏信天德工程顾问有限公司开标室）</w:t>
      </w:r>
      <w:r>
        <w:rPr>
          <w:rFonts w:hint="eastAsia" w:ascii="Times New Roman" w:hAnsi="Times New Roman" w:eastAsia="宋体" w:cs="宋体"/>
          <w:color w:val="auto"/>
          <w:sz w:val="24"/>
          <w:szCs w:val="24"/>
          <w:highlight w:val="none"/>
        </w:rPr>
        <w:t>。</w:t>
      </w:r>
    </w:p>
    <w:p w14:paraId="01BC8F7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六、公告期限</w:t>
      </w:r>
      <w:bookmarkEnd w:id="6"/>
      <w:bookmarkEnd w:id="7"/>
      <w:bookmarkEnd w:id="8"/>
      <w:bookmarkEnd w:id="9"/>
    </w:p>
    <w:p w14:paraId="1A25B28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kern w:val="0"/>
          <w:sz w:val="24"/>
          <w:szCs w:val="24"/>
          <w:highlight w:val="none"/>
        </w:rPr>
        <w:t>自本公告发布之日起3个工作日。</w:t>
      </w:r>
    </w:p>
    <w:p w14:paraId="1063B434">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
          <w:bCs/>
          <w:color w:val="auto"/>
          <w:sz w:val="24"/>
          <w:szCs w:val="24"/>
          <w:highlight w:val="none"/>
        </w:rPr>
        <w:t>七、</w:t>
      </w:r>
      <w:r>
        <w:rPr>
          <w:rFonts w:hint="eastAsia" w:ascii="Times New Roman" w:hAnsi="Times New Roman" w:eastAsia="宋体" w:cs="宋体"/>
          <w:b/>
          <w:color w:val="auto"/>
          <w:sz w:val="24"/>
          <w:szCs w:val="24"/>
          <w:highlight w:val="none"/>
        </w:rPr>
        <w:t>其他补充事宜</w:t>
      </w:r>
    </w:p>
    <w:p w14:paraId="31763BC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1、</w:t>
      </w:r>
      <w:r>
        <w:rPr>
          <w:rFonts w:hint="eastAsia" w:ascii="Times New Roman" w:hAnsi="Times New Roman" w:eastAsia="宋体" w:cs="宋体"/>
          <w:color w:val="auto"/>
          <w:kern w:val="0"/>
          <w:sz w:val="24"/>
          <w:szCs w:val="24"/>
          <w:highlight w:val="none"/>
          <w:lang w:val="en-US" w:eastAsia="zh-CN"/>
        </w:rPr>
        <w:t>磋商保证金：免收。</w:t>
      </w:r>
      <w:r>
        <w:rPr>
          <w:rFonts w:hint="eastAsia" w:ascii="Times New Roman" w:hAnsi="Times New Roman" w:eastAsia="宋体" w:cs="宋体"/>
          <w:color w:val="auto"/>
          <w:kern w:val="0"/>
          <w:sz w:val="24"/>
          <w:szCs w:val="24"/>
          <w:highlight w:val="none"/>
        </w:rPr>
        <w:t>本项目不收取磋商保证金，采购文件中涉及磋商保证金的事项，均按免收保证金执行。</w:t>
      </w:r>
    </w:p>
    <w:p w14:paraId="45ECEFF1">
      <w:pPr>
        <w:spacing w:line="360" w:lineRule="auto"/>
        <w:ind w:firstLine="480" w:firstLineChars="200"/>
        <w:rPr>
          <w:rFonts w:cs="宋体"/>
          <w:color w:val="auto"/>
          <w:kern w:val="0"/>
          <w:sz w:val="24"/>
          <w:szCs w:val="24"/>
          <w:highlight w:val="none"/>
        </w:rPr>
      </w:pPr>
      <w:r>
        <w:rPr>
          <w:rFonts w:hint="eastAsia" w:cs="宋体"/>
          <w:bCs/>
          <w:color w:val="auto"/>
          <w:sz w:val="24"/>
          <w:szCs w:val="24"/>
          <w:highlight w:val="none"/>
          <w:lang w:val="en-US" w:eastAsia="zh-CN"/>
        </w:rPr>
        <w:t>2</w:t>
      </w:r>
      <w:r>
        <w:rPr>
          <w:rFonts w:hint="eastAsia" w:cs="宋体"/>
          <w:bCs/>
          <w:color w:val="auto"/>
          <w:sz w:val="24"/>
          <w:szCs w:val="24"/>
          <w:highlight w:val="none"/>
        </w:rPr>
        <w:t>、</w:t>
      </w:r>
      <w:r>
        <w:rPr>
          <w:rFonts w:cs="宋体"/>
          <w:color w:val="auto"/>
          <w:kern w:val="0"/>
          <w:sz w:val="24"/>
          <w:szCs w:val="24"/>
          <w:highlight w:val="none"/>
        </w:rPr>
        <w:t>项目</w:t>
      </w:r>
      <w:r>
        <w:rPr>
          <w:rFonts w:hint="eastAsia" w:cs="宋体"/>
          <w:color w:val="auto"/>
          <w:kern w:val="0"/>
          <w:sz w:val="24"/>
          <w:szCs w:val="24"/>
          <w:highlight w:val="none"/>
        </w:rPr>
        <w:t>磋商</w:t>
      </w:r>
      <w:r>
        <w:rPr>
          <w:rFonts w:cs="宋体"/>
          <w:color w:val="auto"/>
          <w:kern w:val="0"/>
          <w:sz w:val="24"/>
          <w:szCs w:val="24"/>
          <w:highlight w:val="none"/>
        </w:rPr>
        <w:t>活动模式：</w:t>
      </w:r>
      <w:r>
        <w:rPr>
          <w:rFonts w:hint="eastAsia" w:cs="宋体"/>
          <w:color w:val="auto"/>
          <w:kern w:val="0"/>
          <w:sz w:val="24"/>
          <w:szCs w:val="24"/>
          <w:highlight w:val="none"/>
        </w:rPr>
        <w:t>现场磋商模式</w:t>
      </w:r>
      <w:r>
        <w:rPr>
          <w:rFonts w:cs="宋体"/>
          <w:color w:val="auto"/>
          <w:kern w:val="0"/>
          <w:sz w:val="24"/>
          <w:szCs w:val="24"/>
          <w:highlight w:val="none"/>
        </w:rPr>
        <w:t>。</w:t>
      </w:r>
    </w:p>
    <w:p w14:paraId="62022B04">
      <w:pPr>
        <w:spacing w:line="360" w:lineRule="auto"/>
        <w:ind w:firstLine="480" w:firstLineChars="200"/>
        <w:rPr>
          <w:color w:val="auto"/>
          <w:highlight w:val="none"/>
        </w:rPr>
      </w:pPr>
      <w:r>
        <w:rPr>
          <w:rFonts w:hint="eastAsia" w:cs="宋体"/>
          <w:color w:val="auto"/>
          <w:kern w:val="0"/>
          <w:sz w:val="24"/>
          <w:szCs w:val="24"/>
          <w:highlight w:val="none"/>
          <w:lang w:val="en-US" w:eastAsia="zh-CN"/>
        </w:rPr>
        <w:t>3</w:t>
      </w:r>
      <w:r>
        <w:rPr>
          <w:rFonts w:cs="宋体"/>
          <w:color w:val="auto"/>
          <w:kern w:val="0"/>
          <w:sz w:val="24"/>
          <w:szCs w:val="24"/>
          <w:highlight w:val="none"/>
        </w:rPr>
        <w:t>、项目演示、样品、答辩等：无</w:t>
      </w:r>
      <w:r>
        <w:rPr>
          <w:rFonts w:hint="eastAsia" w:cs="宋体"/>
          <w:color w:val="auto"/>
          <w:kern w:val="0"/>
          <w:sz w:val="24"/>
          <w:szCs w:val="24"/>
          <w:highlight w:val="none"/>
        </w:rPr>
        <w:t>。</w:t>
      </w:r>
    </w:p>
    <w:p w14:paraId="05019CFE">
      <w:pPr>
        <w:spacing w:line="360" w:lineRule="auto"/>
        <w:ind w:firstLine="480" w:firstLineChars="200"/>
        <w:textAlignment w:val="baseline"/>
        <w:rPr>
          <w:color w:val="auto"/>
          <w:sz w:val="24"/>
          <w:szCs w:val="24"/>
          <w:highlight w:val="none"/>
        </w:rPr>
      </w:pPr>
      <w:r>
        <w:rPr>
          <w:rFonts w:hint="eastAsia" w:cs="宋体"/>
          <w:color w:val="auto"/>
          <w:sz w:val="24"/>
          <w:highlight w:val="none"/>
          <w:lang w:val="en-US" w:eastAsia="zh-CN"/>
        </w:rPr>
        <w:t>4</w:t>
      </w:r>
      <w:r>
        <w:rPr>
          <w:rFonts w:hint="eastAsia" w:cs="宋体"/>
          <w:color w:val="auto"/>
          <w:sz w:val="24"/>
          <w:highlight w:val="none"/>
        </w:rPr>
        <w:t>、</w:t>
      </w:r>
      <w:r>
        <w:rPr>
          <w:rFonts w:hint="eastAsia"/>
          <w:color w:val="auto"/>
          <w:sz w:val="24"/>
          <w:szCs w:val="24"/>
          <w:highlight w:val="none"/>
        </w:rPr>
        <w:t>对项目需求部分（供应商其他资格要求、项目需求、评分标准）的询问、质疑请向采购人提出，由采购人负责答复；对项目磋商文件其它部分的询问请向采购人或招标代理提出。</w:t>
      </w:r>
    </w:p>
    <w:p w14:paraId="125A902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5</w:t>
      </w:r>
      <w:r>
        <w:rPr>
          <w:rFonts w:hint="eastAsia"/>
          <w:color w:val="auto"/>
          <w:sz w:val="24"/>
          <w:szCs w:val="24"/>
          <w:highlight w:val="none"/>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r>
        <w:rPr>
          <w:rFonts w:hint="eastAsia"/>
          <w:color w:val="auto"/>
          <w:sz w:val="24"/>
          <w:szCs w:val="24"/>
          <w:highlight w:val="none"/>
          <w:lang w:val="en-US" w:eastAsia="zh-CN"/>
        </w:rPr>
        <w:t xml:space="preserve">     </w:t>
      </w:r>
    </w:p>
    <w:p w14:paraId="49BD68DE">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八、凡对本次采购提出询问，请按以下方式联系</w:t>
      </w:r>
    </w:p>
    <w:p w14:paraId="7DF947D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1、采购人信息</w:t>
      </w:r>
    </w:p>
    <w:p w14:paraId="632D16B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名称：南通市第三人民医院</w:t>
      </w:r>
    </w:p>
    <w:p w14:paraId="1827BC18">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地址：江苏省南通市青年中路</w:t>
      </w:r>
      <w:r>
        <w:rPr>
          <w:rFonts w:hint="eastAsia" w:ascii="Times New Roman" w:hAnsi="Times New Roman" w:eastAsia="宋体"/>
          <w:color w:val="auto"/>
          <w:sz w:val="24"/>
          <w:szCs w:val="24"/>
          <w:highlight w:val="none"/>
          <w:lang w:val="en-US" w:eastAsia="zh-CN"/>
        </w:rPr>
        <w:t>60</w:t>
      </w:r>
      <w:r>
        <w:rPr>
          <w:rFonts w:hint="eastAsia" w:ascii="Times New Roman" w:hAnsi="Times New Roman" w:eastAsia="宋体"/>
          <w:color w:val="auto"/>
          <w:sz w:val="24"/>
          <w:szCs w:val="24"/>
          <w:highlight w:val="none"/>
        </w:rPr>
        <w:t>号</w:t>
      </w:r>
    </w:p>
    <w:p w14:paraId="2092EE77">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bCs/>
          <w:color w:val="auto"/>
          <w:sz w:val="24"/>
          <w:highlight w:val="none"/>
          <w:lang w:eastAsia="zh-CN"/>
        </w:rPr>
      </w:pPr>
      <w:r>
        <w:rPr>
          <w:rFonts w:hint="eastAsia" w:ascii="Times New Roman" w:hAnsi="Times New Roman" w:eastAsia="宋体" w:cs="宋体"/>
          <w:bCs/>
          <w:color w:val="auto"/>
          <w:sz w:val="24"/>
          <w:highlight w:val="none"/>
        </w:rPr>
        <w:t>联系人：钱</w:t>
      </w:r>
      <w:r>
        <w:rPr>
          <w:rFonts w:hint="eastAsia" w:ascii="Times New Roman" w:hAnsi="Times New Roman" w:eastAsia="宋体" w:cs="宋体"/>
          <w:bCs/>
          <w:color w:val="auto"/>
          <w:sz w:val="24"/>
          <w:highlight w:val="none"/>
          <w:lang w:eastAsia="zh-CN"/>
        </w:rPr>
        <w:t>先生</w:t>
      </w:r>
    </w:p>
    <w:p w14:paraId="4E618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联系电话：0513-85116168</w:t>
      </w:r>
    </w:p>
    <w:p w14:paraId="5F705B3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2、采购代理机构信息</w:t>
      </w:r>
    </w:p>
    <w:p w14:paraId="445C7E5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名称：宏信天德工程顾问有限公司</w:t>
      </w:r>
    </w:p>
    <w:p w14:paraId="70CFEE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地址：南通市崇川区江海大道488号金贸国际25楼</w:t>
      </w:r>
    </w:p>
    <w:p w14:paraId="345F879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联系人：董安国</w:t>
      </w:r>
    </w:p>
    <w:p w14:paraId="6EAD7A8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olor w:val="auto"/>
          <w:sz w:val="24"/>
          <w:szCs w:val="24"/>
          <w:highlight w:val="none"/>
        </w:rPr>
        <w:t>联系电话：</w:t>
      </w:r>
      <w:r>
        <w:rPr>
          <w:rFonts w:hint="eastAsia" w:ascii="Times New Roman" w:hAnsi="Times New Roman" w:eastAsia="宋体" w:cs="宋体"/>
          <w:color w:val="auto"/>
          <w:kern w:val="0"/>
          <w:sz w:val="24"/>
          <w:highlight w:val="none"/>
        </w:rPr>
        <w:t>18912299056</w:t>
      </w:r>
    </w:p>
    <w:p w14:paraId="2D2133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邮箱：812298892@qq.com</w:t>
      </w:r>
    </w:p>
    <w:p w14:paraId="4D54756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3、项目联系方式</w:t>
      </w:r>
    </w:p>
    <w:p w14:paraId="530951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项目联系人：董安国</w:t>
      </w:r>
    </w:p>
    <w:p w14:paraId="7B9698F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kern w:val="0"/>
          <w:sz w:val="24"/>
          <w:highlight w:val="none"/>
        </w:rPr>
      </w:pPr>
      <w:r>
        <w:rPr>
          <w:rFonts w:hint="eastAsia" w:ascii="Times New Roman" w:hAnsi="Times New Roman" w:eastAsia="宋体"/>
          <w:color w:val="auto"/>
          <w:sz w:val="24"/>
          <w:szCs w:val="24"/>
          <w:highlight w:val="none"/>
        </w:rPr>
        <w:t>电　话：</w:t>
      </w:r>
      <w:r>
        <w:rPr>
          <w:rFonts w:hint="eastAsia" w:ascii="Times New Roman" w:hAnsi="Times New Roman" w:eastAsia="宋体" w:cs="宋体"/>
          <w:color w:val="auto"/>
          <w:kern w:val="0"/>
          <w:sz w:val="24"/>
          <w:highlight w:val="none"/>
        </w:rPr>
        <w:t>18912299056</w:t>
      </w:r>
    </w:p>
    <w:p w14:paraId="7878B4C5">
      <w:pPr>
        <w:pStyle w:val="9"/>
        <w:keepNext w:val="0"/>
        <w:keepLines w:val="0"/>
        <w:pageBreakBefore w:val="0"/>
        <w:widowControl w:val="0"/>
        <w:kinsoku/>
        <w:wordWrap/>
        <w:topLinePunct w:val="0"/>
        <w:autoSpaceDE/>
        <w:autoSpaceDN/>
        <w:bidi w:val="0"/>
        <w:spacing w:line="360" w:lineRule="auto"/>
        <w:rPr>
          <w:rFonts w:ascii="Times New Roman" w:hAnsi="Times New Roman" w:eastAsia="宋体"/>
          <w:color w:val="auto"/>
          <w:kern w:val="0"/>
          <w:highlight w:val="none"/>
        </w:rPr>
      </w:pPr>
      <w:r>
        <w:rPr>
          <w:rFonts w:ascii="Times New Roman" w:hAnsi="Times New Roman" w:eastAsia="宋体"/>
          <w:color w:val="auto"/>
          <w:kern w:val="0"/>
          <w:highlight w:val="none"/>
        </w:rPr>
        <w:br w:type="page"/>
      </w:r>
    </w:p>
    <w:p w14:paraId="2AA378F3">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olor w:val="auto"/>
          <w:w w:val="80"/>
          <w:sz w:val="48"/>
          <w:szCs w:val="44"/>
          <w:highlight w:val="none"/>
        </w:rPr>
      </w:pPr>
      <w:r>
        <w:rPr>
          <w:rFonts w:hint="eastAsia" w:ascii="Times New Roman" w:hAnsi="Times New Roman" w:eastAsia="宋体"/>
          <w:color w:val="auto"/>
          <w:w w:val="80"/>
          <w:sz w:val="48"/>
          <w:szCs w:val="44"/>
          <w:highlight w:val="none"/>
        </w:rPr>
        <w:t>第二章 投标供应商须知</w:t>
      </w:r>
    </w:p>
    <w:p w14:paraId="5586FE3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一、说明</w:t>
      </w:r>
    </w:p>
    <w:p w14:paraId="42DBB24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1、本竞争性磋商文件仅适用于采购人组织的竞争性磋商采购活动。</w:t>
      </w:r>
    </w:p>
    <w:p w14:paraId="191377F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2、竞争性磋商活动及因本次磋商产生的合同受中国法律制约和保护。</w:t>
      </w:r>
    </w:p>
    <w:p w14:paraId="0F581CB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3、竞争性磋商文件的解释权属于采购人。</w:t>
      </w:r>
    </w:p>
    <w:p w14:paraId="222F883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color w:val="auto"/>
          <w:sz w:val="24"/>
          <w:szCs w:val="24"/>
          <w:highlight w:val="none"/>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b/>
          <w:color w:val="auto"/>
          <w:sz w:val="24"/>
          <w:szCs w:val="24"/>
          <w:highlight w:val="none"/>
        </w:rPr>
        <w:t>非书面形式的不作为日后质疑提出的依据。</w:t>
      </w:r>
    </w:p>
    <w:p w14:paraId="53B8395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5、供应商应认真审阅磋商文件中所有的事项、格式、条款和规范要求等，如果供应商没有按照磋商文件要求提交响应文件，或者响应文件没有对磋商文件做出实质性响应，将被拒绝参与项目的磋商。</w:t>
      </w:r>
    </w:p>
    <w:p w14:paraId="1620B33A">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二、本项目涉及到的现场勘察</w:t>
      </w:r>
    </w:p>
    <w:p w14:paraId="590F4E0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1、根据自身需要，供应商可在响应文件递交之日前对有关现场和周围环境进行勘察，以获取编制响应文件和签署合同所需的信息。勘察现场所发生的费用由供应商自己承担。</w:t>
      </w:r>
    </w:p>
    <w:p w14:paraId="76ABF4E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2、采购人向供应商提供的有关现场的资料和数据，是采购人现有的并认为能使供应商可利用的资料。采购人对供应商由此而做出的推论、理解和结论概不负责。</w:t>
      </w:r>
    </w:p>
    <w:p w14:paraId="09A6E0D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3、经采购人允许，供应商可为勘察目的进入采购人的项目现场，但供应商不得因此使采购人承担有关的责任和蒙受损失。供应商应承担勘察现场的责任和风险。</w:t>
      </w:r>
    </w:p>
    <w:p w14:paraId="773D6EEB">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14:paraId="72D2A90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color w:val="auto"/>
          <w:highlight w:val="none"/>
        </w:rPr>
      </w:pPr>
      <w:r>
        <w:rPr>
          <w:rFonts w:hint="eastAsia" w:ascii="Times New Roman" w:hAnsi="Times New Roman" w:eastAsia="宋体" w:cs="宋体"/>
          <w:color w:val="auto"/>
          <w:sz w:val="24"/>
          <w:szCs w:val="24"/>
          <w:highlight w:val="none"/>
          <w:lang w:val="en-US" w:eastAsia="zh-CN"/>
        </w:rPr>
        <w:t>5、</w:t>
      </w:r>
      <w:r>
        <w:rPr>
          <w:rFonts w:hint="eastAsia" w:ascii="Times New Roman" w:hAnsi="Times New Roman" w:eastAsia="宋体" w:cs="宋体"/>
          <w:color w:val="auto"/>
          <w:sz w:val="24"/>
          <w:szCs w:val="24"/>
          <w:highlight w:val="none"/>
        </w:rPr>
        <w:t>为了供应商准确掌握项目现场实际情况，根据实际情况作出客观可行的方案及报价，</w:t>
      </w:r>
      <w:r>
        <w:rPr>
          <w:rFonts w:hint="eastAsia" w:ascii="Times New Roman" w:hAnsi="Times New Roman" w:eastAsia="宋体" w:cs="宋体"/>
          <w:b/>
          <w:bCs/>
          <w:color w:val="auto"/>
          <w:sz w:val="24"/>
          <w:szCs w:val="24"/>
          <w:highlight w:val="none"/>
        </w:rPr>
        <w:t>供应商可与</w:t>
      </w:r>
      <w:r>
        <w:rPr>
          <w:rFonts w:hint="eastAsia" w:ascii="Times New Roman" w:hAnsi="Times New Roman" w:eastAsia="宋体" w:cs="宋体"/>
          <w:b/>
          <w:bCs/>
          <w:color w:val="auto"/>
          <w:sz w:val="24"/>
          <w:szCs w:val="24"/>
          <w:highlight w:val="none"/>
          <w:lang w:eastAsia="zh-CN"/>
        </w:rPr>
        <w:t>医院总务</w:t>
      </w:r>
      <w:r>
        <w:rPr>
          <w:rFonts w:hint="eastAsia" w:ascii="Times New Roman" w:hAnsi="Times New Roman" w:eastAsia="宋体" w:cs="宋体"/>
          <w:b/>
          <w:bCs/>
          <w:color w:val="auto"/>
          <w:sz w:val="24"/>
          <w:szCs w:val="24"/>
          <w:highlight w:val="none"/>
        </w:rPr>
        <w:t>科联系踏勘项目现场，并取得现场勘察证明</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联系人：</w:t>
      </w:r>
      <w:r>
        <w:rPr>
          <w:rFonts w:hint="eastAsia" w:ascii="Times New Roman" w:hAnsi="Times New Roman" w:eastAsia="宋体" w:cs="宋体"/>
          <w:b/>
          <w:bCs/>
          <w:color w:val="auto"/>
          <w:sz w:val="24"/>
          <w:szCs w:val="24"/>
          <w:highlight w:val="none"/>
          <w:lang w:eastAsia="zh-CN"/>
        </w:rPr>
        <w:t>何树兵，</w:t>
      </w:r>
      <w:r>
        <w:rPr>
          <w:rFonts w:hint="eastAsia" w:ascii="Times New Roman" w:hAnsi="Times New Roman" w:eastAsia="宋体" w:cs="宋体"/>
          <w:b/>
          <w:bCs/>
          <w:color w:val="auto"/>
          <w:sz w:val="24"/>
          <w:szCs w:val="24"/>
          <w:highlight w:val="none"/>
        </w:rPr>
        <w:t>联系电话：0513-8511601</w:t>
      </w:r>
      <w:r>
        <w:rPr>
          <w:rFonts w:hint="eastAsia" w:ascii="Times New Roman" w:hAnsi="Times New Roman" w:eastAsia="宋体" w:cs="宋体"/>
          <w:b/>
          <w:bCs/>
          <w:color w:val="auto"/>
          <w:sz w:val="24"/>
          <w:szCs w:val="24"/>
          <w:highlight w:val="none"/>
          <w:lang w:val="en-US" w:eastAsia="zh-CN"/>
        </w:rPr>
        <w:t>5</w:t>
      </w:r>
      <w:r>
        <w:rPr>
          <w:rFonts w:hint="eastAsia" w:ascii="Times New Roman" w:hAnsi="Times New Roman" w:eastAsia="宋体" w:cs="宋体"/>
          <w:b/>
          <w:bCs/>
          <w:color w:val="auto"/>
          <w:sz w:val="24"/>
          <w:szCs w:val="24"/>
          <w:highlight w:val="none"/>
        </w:rPr>
        <w:t>。</w:t>
      </w:r>
    </w:p>
    <w:p w14:paraId="08F1E32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三、磋商文件的澄清、修改、答疑</w:t>
      </w:r>
    </w:p>
    <w:p w14:paraId="687F5B3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1、代理机构有权对发出的磋商文件进行必要的澄清、修改或补充。</w:t>
      </w:r>
    </w:p>
    <w:p w14:paraId="755CEFF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2、磋商文件的澄清、修改、补充等内容均以书面明确的形式发布，并以南通市第三人民医院官网发布的信息为准。</w:t>
      </w:r>
    </w:p>
    <w:p w14:paraId="3631A0C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3、代理机构对磋商文件的澄清、修改将构成磋商文件的一部分，对响应磋商的供应商具有约束力。</w:t>
      </w:r>
    </w:p>
    <w:p w14:paraId="712FA2E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4、澄清或者修改的内容可能影响到响应文件编制的，代理机构应当在提交响应文件接收截止之日3个工作日前，发布澄清或者修改公告，不足3个工作日的，当顺延提交响应文件接收截止时间。</w:t>
      </w:r>
    </w:p>
    <w:p w14:paraId="767CF4F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5、除非代理机构以书面的形式对磋商文件作出澄清、修改及补充，供应商对涉及磋商文件的任何推论、理解和结论所造成的结果，均由供应商自负。</w:t>
      </w:r>
    </w:p>
    <w:p w14:paraId="38D9FA6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6、采购单位视情组织答疑会。如有产生答疑且对磋商文件内容有修改，代理机构将按照本须知有关规定，以补充通知（公告）的方式发出。</w:t>
      </w:r>
    </w:p>
    <w:p w14:paraId="05D64943">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四、响应文件的编制及装订</w:t>
      </w:r>
    </w:p>
    <w:p w14:paraId="474761A5">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供应商按磋商文件要求编写响应文件，并牢固装订成册。响应文件均需采用A4纸（图纸等除外）装订。响应文件不得行间插字、涂改、增删，如修改错漏处，须经响应文件签署人签字并加盖公章。</w:t>
      </w:r>
    </w:p>
    <w:p w14:paraId="055F8A0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五、响应文件的份数和签署</w:t>
      </w:r>
    </w:p>
    <w:p w14:paraId="113B25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1、响应文件由：</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资格审查文件、</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技术响应文件、③报价响应文件共3部分组成（以下由文件序号代称）。</w:t>
      </w:r>
    </w:p>
    <w:p w14:paraId="4EAC643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color w:val="auto"/>
          <w:sz w:val="24"/>
          <w:szCs w:val="24"/>
          <w:highlight w:val="none"/>
          <w:u w:val="single"/>
        </w:rPr>
      </w:pPr>
      <w:r>
        <w:rPr>
          <w:rFonts w:hint="eastAsia" w:ascii="Times New Roman" w:hAnsi="Times New Roman" w:eastAsia="宋体" w:cs="宋体"/>
          <w:color w:val="auto"/>
          <w:sz w:val="24"/>
          <w:szCs w:val="24"/>
          <w:highlight w:val="none"/>
        </w:rPr>
        <w:t>2、</w:t>
      </w:r>
      <w:r>
        <w:rPr>
          <w:rFonts w:hint="eastAsia" w:ascii="Times New Roman" w:hAnsi="Times New Roman" w:eastAsia="宋体" w:cs="宋体"/>
          <w:b/>
          <w:color w:val="auto"/>
          <w:sz w:val="24"/>
          <w:szCs w:val="24"/>
          <w:highlight w:val="none"/>
        </w:rPr>
        <w:t>响应文件均为一式</w:t>
      </w:r>
      <w:r>
        <w:rPr>
          <w:rFonts w:hint="eastAsia" w:ascii="Times New Roman" w:hAnsi="Times New Roman" w:eastAsia="宋体" w:cs="宋体"/>
          <w:b/>
          <w:color w:val="auto"/>
          <w:sz w:val="24"/>
          <w:szCs w:val="24"/>
          <w:highlight w:val="none"/>
          <w:lang w:eastAsia="zh-CN"/>
        </w:rPr>
        <w:t>叁</w:t>
      </w:r>
      <w:r>
        <w:rPr>
          <w:rFonts w:hint="eastAsia" w:ascii="Times New Roman" w:hAnsi="Times New Roman" w:eastAsia="宋体" w:cs="宋体"/>
          <w:b/>
          <w:color w:val="auto"/>
          <w:sz w:val="24"/>
          <w:szCs w:val="24"/>
          <w:highlight w:val="none"/>
        </w:rPr>
        <w:t>份，其中</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正本</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壹份和</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副本</w:t>
      </w:r>
      <w:r>
        <w:rPr>
          <w:rFonts w:hint="eastAsia" w:ascii="Times New Roman" w:hAnsi="Times New Roman" w:eastAsia="宋体" w:cs="宋体"/>
          <w:b/>
          <w:color w:val="auto"/>
          <w:sz w:val="24"/>
          <w:szCs w:val="24"/>
          <w:highlight w:val="none"/>
          <w:lang w:eastAsia="zh-CN"/>
        </w:rPr>
        <w:t>”贰</w:t>
      </w:r>
      <w:r>
        <w:rPr>
          <w:rFonts w:hint="eastAsia" w:ascii="Times New Roman" w:hAnsi="Times New Roman" w:eastAsia="宋体" w:cs="宋体"/>
          <w:b/>
          <w:color w:val="auto"/>
          <w:sz w:val="24"/>
          <w:szCs w:val="24"/>
          <w:highlight w:val="none"/>
        </w:rPr>
        <w:t>份。</w:t>
      </w:r>
    </w:p>
    <w:p w14:paraId="4FACA949">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3、在每份响应文件上要明确标注项目名称、对应的响应文件名称、供应商的全称、日期、</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字样。</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和</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若有差异，概以</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为准。</w:t>
      </w:r>
    </w:p>
    <w:p w14:paraId="462B9602">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4、供应商可将响应文件正副本统一密封或分别密封，如正本和副本分别密封的，应在封袋上标明正、副本字样。</w:t>
      </w:r>
    </w:p>
    <w:p w14:paraId="10A8B01A">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5、响应文件中的所有</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，其正文内容须按磋商文件要求由供应商法定代表人或被授权人签字（或盖章）并加盖单位公章。</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可复印，但须加盖单位公章。</w:t>
      </w:r>
    </w:p>
    <w:p w14:paraId="6830A851">
      <w:pPr>
        <w:keepNext w:val="0"/>
        <w:keepLines w:val="0"/>
        <w:pageBreakBefore w:val="0"/>
        <w:widowControl w:val="0"/>
        <w:kinsoku/>
        <w:wordWrap/>
        <w:topLinePunct w:val="0"/>
        <w:autoSpaceDE/>
        <w:autoSpaceDN/>
        <w:bidi w:val="0"/>
        <w:spacing w:line="360" w:lineRule="auto"/>
        <w:ind w:firstLine="472" w:firstLineChars="19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六、响应文件的密封及标记</w:t>
      </w:r>
    </w:p>
    <w:p w14:paraId="7A047CA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1、供应商须将本项目响应文件：</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3 \* GB3</w:instrText>
      </w:r>
      <w:r>
        <w:rPr>
          <w:rFonts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③</w:t>
      </w:r>
      <w:r>
        <w:rPr>
          <w:rFonts w:ascii="Times New Roman" w:hAnsi="Times New Roman" w:eastAsia="宋体" w:cs="宋体"/>
          <w:color w:val="auto"/>
          <w:sz w:val="20"/>
          <w:szCs w:val="24"/>
          <w:highlight w:val="none"/>
        </w:rPr>
        <w:fldChar w:fldCharType="end"/>
      </w:r>
      <w:r>
        <w:rPr>
          <w:rFonts w:hint="eastAsia" w:ascii="Times New Roman" w:hAnsi="Times New Roman" w:eastAsia="宋体" w:cs="宋体"/>
          <w:b/>
          <w:color w:val="auto"/>
          <w:sz w:val="24"/>
          <w:szCs w:val="24"/>
          <w:highlight w:val="none"/>
        </w:rPr>
        <w:t>单独密封</w:t>
      </w:r>
      <w:r>
        <w:rPr>
          <w:rFonts w:hint="eastAsia" w:ascii="Times New Roman" w:hAnsi="Times New Roman" w:eastAsia="宋体" w:cs="宋体"/>
          <w:color w:val="auto"/>
          <w:sz w:val="24"/>
          <w:szCs w:val="24"/>
          <w:highlight w:val="none"/>
        </w:rPr>
        <w:t>。</w:t>
      </w:r>
    </w:p>
    <w:p w14:paraId="5DBB13A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2、密封后，应在每一份密封的响应文件上明确标注磋商项目名称、响应文件各自对应的名称、供应商的全称及日期并加盖供应商公章。</w:t>
      </w:r>
    </w:p>
    <w:p w14:paraId="6651779D">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【特别提醒】</w:t>
      </w:r>
      <w:r>
        <w:rPr>
          <w:rFonts w:hint="eastAsia" w:ascii="Times New Roman" w:hAnsi="Times New Roman" w:eastAsia="宋体" w:cs="宋体"/>
          <w:color w:val="auto"/>
          <w:sz w:val="24"/>
          <w:szCs w:val="24"/>
          <w:highlight w:val="none"/>
        </w:rPr>
        <w:t>响应文件中的</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和</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的</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或</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中，均不得含有报价响应文件中报价表（报价单）内的任何项目价格，否则作无效投标处理。</w:t>
      </w:r>
    </w:p>
    <w:p w14:paraId="56EC8E2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七、磋商报价</w:t>
      </w:r>
    </w:p>
    <w:p w14:paraId="752A621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highlight w:val="none"/>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color w:val="auto"/>
          <w:sz w:val="24"/>
          <w:szCs w:val="24"/>
          <w:highlight w:val="none"/>
        </w:rPr>
        <w:t>。</w:t>
      </w:r>
    </w:p>
    <w:p w14:paraId="467FDC3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2、磋商报价均以人民币为报价的币种。</w:t>
      </w:r>
    </w:p>
    <w:p w14:paraId="08E7542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14:paraId="53B59C29">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4、本项目报价为</w:t>
      </w:r>
      <w:r>
        <w:rPr>
          <w:rFonts w:hint="eastAsia" w:ascii="Times New Roman" w:hAnsi="Times New Roman" w:eastAsia="宋体" w:cs="宋体"/>
          <w:b/>
          <w:bCs/>
          <w:color w:val="auto"/>
          <w:sz w:val="24"/>
          <w:szCs w:val="24"/>
          <w:highlight w:val="none"/>
        </w:rPr>
        <w:t>固定价格</w:t>
      </w:r>
      <w:r>
        <w:rPr>
          <w:rFonts w:hint="eastAsia" w:ascii="Times New Roman" w:hAnsi="Times New Roman" w:eastAsia="宋体" w:cs="宋体"/>
          <w:color w:val="auto"/>
          <w:sz w:val="24"/>
          <w:szCs w:val="24"/>
          <w:highlight w:val="none"/>
        </w:rPr>
        <w:t>报价，供应商应充分考虑服务实施期间各类市场价格和政策性价格调整因素，确定价格风险计入总报价，今后不作调整。（</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报价应包括完成本项目所需的一切费用，包括但不限于</w:t>
      </w:r>
      <w:r>
        <w:rPr>
          <w:rFonts w:hint="eastAsia" w:ascii="Times New Roman" w:hAnsi="Times New Roman" w:eastAsia="宋体"/>
          <w:bCs/>
          <w:color w:val="auto"/>
          <w:sz w:val="24"/>
          <w:szCs w:val="24"/>
          <w:highlight w:val="none"/>
        </w:rPr>
        <w:t>成本、利润、税金、开办费、政策性调整风险费等的所有费用；</w:t>
      </w:r>
      <w:r>
        <w:rPr>
          <w:rFonts w:hint="eastAsia" w:ascii="Times New Roman" w:hAnsi="Times New Roman" w:eastAsia="宋体" w:cs="宋体"/>
          <w:color w:val="auto"/>
          <w:sz w:val="24"/>
          <w:szCs w:val="24"/>
          <w:highlight w:val="none"/>
        </w:rPr>
        <w:t>辅材费、</w:t>
      </w:r>
      <w:r>
        <w:rPr>
          <w:rFonts w:hint="eastAsia" w:ascii="Times New Roman" w:hAnsi="Times New Roman" w:eastAsia="宋体"/>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cs="宋体"/>
          <w:color w:val="auto"/>
          <w:sz w:val="24"/>
          <w:szCs w:val="24"/>
          <w:highlight w:val="none"/>
        </w:rPr>
        <w:t>。同时，报价也应包含合同履行过程中可能发生的一切风险。）</w:t>
      </w:r>
    </w:p>
    <w:p w14:paraId="1176815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14:paraId="2787124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w:t>
      </w:r>
      <w:r>
        <w:rPr>
          <w:rFonts w:hint="eastAsia" w:ascii="Times New Roman" w:hAnsi="Times New Roman" w:eastAsia="宋体" w:cs="宋体"/>
          <w:color w:val="auto"/>
          <w:sz w:val="24"/>
          <w:highlight w:val="none"/>
        </w:rPr>
        <w:t>除非在磋商中磋商小组对采购单位需求内容作了调整增加，或对采购内容作了实质性变更，否则</w:t>
      </w:r>
      <w:r>
        <w:rPr>
          <w:rFonts w:hint="eastAsia" w:ascii="Times New Roman" w:hAnsi="Times New Roman" w:eastAsia="宋体" w:cs="宋体"/>
          <w:b/>
          <w:color w:val="auto"/>
          <w:sz w:val="24"/>
          <w:highlight w:val="none"/>
        </w:rPr>
        <w:t>采购单位不接受供应商高于自己前一轮的磋商报价。</w:t>
      </w:r>
    </w:p>
    <w:p w14:paraId="1C2798E4">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7、竞争性磋商的最终报价为成交价。同时，供应商的最终成交价在合同实施期间不因市场变化因素而变动。</w:t>
      </w:r>
    </w:p>
    <w:p w14:paraId="3C2E314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w:t>
      </w:r>
      <w:r>
        <w:rPr>
          <w:rFonts w:hint="eastAsia" w:ascii="Times New Roman" w:hAnsi="Times New Roman" w:eastAsia="宋体" w:cs="宋体"/>
          <w:color w:val="auto"/>
          <w:sz w:val="24"/>
          <w:highlight w:val="none"/>
        </w:rPr>
        <w:t>最终报价将作为磋商小组评定成交供应商的依据</w:t>
      </w:r>
      <w:r>
        <w:rPr>
          <w:rFonts w:hint="eastAsia" w:ascii="Times New Roman" w:hAnsi="Times New Roman" w:eastAsia="宋体" w:cs="宋体"/>
          <w:color w:val="auto"/>
          <w:sz w:val="24"/>
          <w:szCs w:val="24"/>
          <w:highlight w:val="none"/>
        </w:rPr>
        <w:t>。</w:t>
      </w:r>
    </w:p>
    <w:p w14:paraId="722C767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八、联合体参与磋商</w:t>
      </w:r>
    </w:p>
    <w:p w14:paraId="27D212B7">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不接受任何形式的联合体参与本项目的竞争性磋商。</w:t>
      </w:r>
    </w:p>
    <w:p w14:paraId="35B465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rPr>
        <w:t>九、响应文件及</w:t>
      </w:r>
      <w:r>
        <w:rPr>
          <w:rFonts w:hint="eastAsia" w:ascii="Times New Roman" w:hAnsi="Times New Roman" w:eastAsia="宋体" w:cs="宋体"/>
          <w:b/>
          <w:color w:val="auto"/>
          <w:kern w:val="0"/>
          <w:sz w:val="24"/>
          <w:szCs w:val="24"/>
          <w:highlight w:val="none"/>
        </w:rPr>
        <w:t>磋商</w:t>
      </w:r>
      <w:r>
        <w:rPr>
          <w:rFonts w:hint="eastAsia" w:ascii="Times New Roman" w:hAnsi="Times New Roman" w:eastAsia="宋体" w:cs="宋体"/>
          <w:b/>
          <w:bCs/>
          <w:color w:val="auto"/>
          <w:sz w:val="24"/>
          <w:szCs w:val="24"/>
          <w:highlight w:val="none"/>
        </w:rPr>
        <w:t>费用</w:t>
      </w:r>
    </w:p>
    <w:p w14:paraId="71871DA7">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1、磋商文件每套售价300元，在</w:t>
      </w:r>
      <w:r>
        <w:rPr>
          <w:rFonts w:hint="eastAsia" w:ascii="Times New Roman" w:hAnsi="Times New Roman" w:eastAsia="宋体" w:cs="宋体"/>
          <w:color w:val="auto"/>
          <w:sz w:val="24"/>
          <w:szCs w:val="24"/>
          <w:highlight w:val="none"/>
          <w:lang w:eastAsia="zh-CN"/>
        </w:rPr>
        <w:t>报名</w:t>
      </w:r>
      <w:r>
        <w:rPr>
          <w:rFonts w:hint="eastAsia" w:ascii="Times New Roman" w:hAnsi="Times New Roman" w:eastAsia="宋体" w:cs="宋体"/>
          <w:color w:val="auto"/>
          <w:sz w:val="24"/>
          <w:szCs w:val="24"/>
          <w:highlight w:val="none"/>
        </w:rPr>
        <w:t>的同时提交给</w:t>
      </w:r>
      <w:r>
        <w:rPr>
          <w:rFonts w:hint="eastAsia" w:ascii="Times New Roman" w:hAnsi="Times New Roman" w:eastAsia="宋体" w:cs="宋体"/>
          <w:color w:val="auto"/>
          <w:sz w:val="24"/>
          <w:szCs w:val="24"/>
          <w:highlight w:val="none"/>
          <w:lang w:eastAsia="zh-CN"/>
        </w:rPr>
        <w:t>采购</w:t>
      </w:r>
      <w:r>
        <w:rPr>
          <w:rFonts w:hint="eastAsia" w:ascii="Times New Roman" w:hAnsi="Times New Roman" w:eastAsia="宋体" w:cs="宋体"/>
          <w:color w:val="auto"/>
          <w:sz w:val="24"/>
          <w:szCs w:val="24"/>
          <w:highlight w:val="none"/>
        </w:rPr>
        <w:t>代理机构。</w:t>
      </w:r>
    </w:p>
    <w:p w14:paraId="7E0385F4">
      <w:pPr>
        <w:keepNext w:val="0"/>
        <w:keepLines w:val="0"/>
        <w:pageBreakBefore w:val="0"/>
        <w:widowControl w:val="0"/>
        <w:kinsoku/>
        <w:wordWrap/>
        <w:topLinePunct w:val="0"/>
        <w:autoSpaceDE/>
        <w:autoSpaceDN/>
        <w:bidi w:val="0"/>
        <w:spacing w:line="360" w:lineRule="auto"/>
        <w:ind w:firstLine="460" w:firstLineChars="192"/>
        <w:textAlignment w:val="baseline"/>
        <w:rPr>
          <w:rFonts w:hint="eastAsia" w:ascii="Times New Roman" w:hAnsi="Times New Roman" w:cs="宋体" w:eastAsiaTheme="minorEastAsia"/>
          <w:color w:val="auto"/>
          <w:sz w:val="24"/>
          <w:szCs w:val="24"/>
          <w:highlight w:val="none"/>
          <w:lang w:eastAsia="zh-CN"/>
        </w:rPr>
      </w:pPr>
      <w:r>
        <w:rPr>
          <w:rFonts w:hint="eastAsia" w:ascii="Times New Roman" w:hAnsi="Times New Roman" w:eastAsia="宋体" w:cs="宋体"/>
          <w:color w:val="auto"/>
          <w:sz w:val="24"/>
          <w:szCs w:val="24"/>
          <w:highlight w:val="none"/>
        </w:rPr>
        <w:t>2、本次</w:t>
      </w:r>
      <w:r>
        <w:rPr>
          <w:rFonts w:hint="eastAsia" w:ascii="Times New Roman" w:hAnsi="Times New Roman" w:eastAsia="宋体" w:cs="宋体"/>
          <w:color w:val="auto"/>
          <w:sz w:val="24"/>
          <w:szCs w:val="24"/>
          <w:highlight w:val="none"/>
          <w:lang w:eastAsia="zh-CN"/>
        </w:rPr>
        <w:t>磋商</w:t>
      </w:r>
      <w:r>
        <w:rPr>
          <w:rFonts w:hint="eastAsia" w:ascii="Times New Roman" w:hAnsi="Times New Roman" w:eastAsia="宋体" w:cs="宋体"/>
          <w:color w:val="auto"/>
          <w:sz w:val="24"/>
          <w:szCs w:val="24"/>
          <w:highlight w:val="none"/>
        </w:rPr>
        <w:t>向成交供应商收取代理服务费，按国家发改委颁发的[2011]534号文《国家发改委关于降低部分建设项目收费标准规范收费行为等有关问题的通知》的有关规定执行，具体如下：</w:t>
      </w:r>
      <w:r>
        <w:rPr>
          <w:rFonts w:hint="eastAsia" w:ascii="Times New Roman" w:hAnsi="Times New Roman" w:eastAsia="宋体" w:cs="宋体"/>
          <w:color w:val="auto"/>
          <w:sz w:val="24"/>
          <w:szCs w:val="24"/>
          <w:highlight w:val="none"/>
          <w:lang w:eastAsia="zh-CN"/>
        </w:rPr>
        <w:t>成交</w:t>
      </w:r>
      <w:r>
        <w:rPr>
          <w:rFonts w:hint="eastAsia" w:ascii="Times New Roman" w:hAnsi="Times New Roman" w:eastAsia="宋体" w:cs="宋体"/>
          <w:color w:val="auto"/>
          <w:sz w:val="24"/>
          <w:szCs w:val="24"/>
          <w:highlight w:val="none"/>
        </w:rPr>
        <w:t>服务费按差额定率累进法计算，以成交通知书确定的</w:t>
      </w:r>
      <w:r>
        <w:rPr>
          <w:rFonts w:hint="eastAsia" w:ascii="Times New Roman" w:hAnsi="Times New Roman" w:eastAsia="宋体" w:cs="宋体"/>
          <w:color w:val="auto"/>
          <w:sz w:val="24"/>
          <w:szCs w:val="24"/>
          <w:highlight w:val="none"/>
          <w:lang w:eastAsia="zh-CN"/>
        </w:rPr>
        <w:t>成交</w:t>
      </w:r>
      <w:r>
        <w:rPr>
          <w:rFonts w:hint="eastAsia" w:ascii="Times New Roman" w:hAnsi="Times New Roman" w:eastAsia="宋体" w:cs="宋体"/>
          <w:color w:val="auto"/>
          <w:sz w:val="24"/>
          <w:szCs w:val="24"/>
          <w:highlight w:val="none"/>
        </w:rPr>
        <w:t>金额作为收费的计算依据，按招标收费标准下浮40%计算，不满1500元的，按1500元收取。</w:t>
      </w:r>
      <w:r>
        <w:rPr>
          <w:rFonts w:hint="eastAsia" w:ascii="Times New Roman" w:cs="仿宋"/>
          <w:color w:val="auto"/>
          <w:sz w:val="24"/>
          <w:szCs w:val="24"/>
          <w:highlight w:val="none"/>
        </w:rPr>
        <w:t>评委费按照南通市财政局通财购【2018】18 号文按实</w:t>
      </w:r>
      <w:r>
        <w:rPr>
          <w:rFonts w:hint="eastAsia" w:ascii="Times New Roman" w:cs="仿宋"/>
          <w:color w:val="auto"/>
          <w:sz w:val="24"/>
          <w:szCs w:val="24"/>
          <w:highlight w:val="none"/>
          <w:lang w:eastAsia="zh-CN"/>
        </w:rPr>
        <w:t>计</w:t>
      </w:r>
      <w:r>
        <w:rPr>
          <w:rFonts w:hint="eastAsia" w:ascii="Times New Roman" w:cs="仿宋"/>
          <w:color w:val="auto"/>
          <w:sz w:val="24"/>
          <w:szCs w:val="24"/>
          <w:highlight w:val="none"/>
        </w:rPr>
        <w:t>取</w:t>
      </w:r>
      <w:r>
        <w:rPr>
          <w:rFonts w:hint="eastAsia" w:ascii="Times New Roman" w:cs="仿宋"/>
          <w:color w:val="auto"/>
          <w:sz w:val="24"/>
          <w:szCs w:val="24"/>
          <w:highlight w:val="none"/>
          <w:lang w:eastAsia="zh-CN"/>
        </w:rPr>
        <w:t>。</w:t>
      </w:r>
    </w:p>
    <w:p w14:paraId="74E7B100">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3、磋商程序顺利进行后，除供应商的原件可退回外，其余所有的响应文件都将作为档案保存，不论成交与否，代理机构均不退回。</w:t>
      </w:r>
    </w:p>
    <w:p w14:paraId="58CC8B51">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4、无论磋商过程和结果如何，参加项目磋商的供应商自行承担与本次项目磋商有关的全部费用。</w:t>
      </w:r>
    </w:p>
    <w:p w14:paraId="29D58D17">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color w:val="auto"/>
          <w:sz w:val="24"/>
          <w:szCs w:val="24"/>
          <w:highlight w:val="none"/>
        </w:rPr>
        <w:t>十、</w:t>
      </w:r>
      <w:r>
        <w:rPr>
          <w:rFonts w:hint="eastAsia" w:ascii="Times New Roman" w:hAnsi="Times New Roman" w:eastAsia="宋体" w:cs="宋体"/>
          <w:b/>
          <w:bCs/>
          <w:color w:val="auto"/>
          <w:sz w:val="24"/>
          <w:szCs w:val="24"/>
          <w:highlight w:val="none"/>
        </w:rPr>
        <w:t>磋商响应文件的有效期</w:t>
      </w:r>
    </w:p>
    <w:p w14:paraId="31E380B5">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1、从磋商响应文件接收截止之日算起，45个</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日历天</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内响应文件应保持有效。有效期短于这个规定期限的磋商，将被拒绝。</w:t>
      </w:r>
    </w:p>
    <w:p w14:paraId="060FA8E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14:paraId="070D48B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十一、未尽事宜</w:t>
      </w:r>
    </w:p>
    <w:p w14:paraId="5E2AD763">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按《中华人民共和国政府采购法》及《政府采购竞争性磋商采购方式管理暂行办法》与其他有关法律法规的规定执行。</w:t>
      </w:r>
    </w:p>
    <w:p w14:paraId="4DF9C9B8">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color w:val="auto"/>
          <w:w w:val="80"/>
          <w:kern w:val="44"/>
          <w:sz w:val="48"/>
          <w:szCs w:val="44"/>
          <w:highlight w:val="none"/>
        </w:rPr>
      </w:pPr>
      <w:r>
        <w:rPr>
          <w:rFonts w:ascii="Times New Roman" w:hAnsi="Times New Roman" w:eastAsia="宋体" w:cs="宋体"/>
          <w:color w:val="auto"/>
          <w:w w:val="80"/>
          <w:sz w:val="48"/>
          <w:szCs w:val="44"/>
          <w:highlight w:val="none"/>
        </w:rPr>
        <w:br w:type="page"/>
      </w:r>
    </w:p>
    <w:p w14:paraId="49FAFCA5">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第三章 项目需求</w:t>
      </w:r>
    </w:p>
    <w:p w14:paraId="147EAA26">
      <w:pPr>
        <w:wordWrap w:val="0"/>
        <w:spacing w:line="360" w:lineRule="auto"/>
        <w:ind w:firstLine="480" w:firstLineChars="200"/>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lang w:val="zh-CN" w:eastAsia="zh-CN"/>
        </w:rPr>
        <w:t>响应</w:t>
      </w:r>
      <w:r>
        <w:rPr>
          <w:rFonts w:hint="eastAsia" w:ascii="宋体" w:hAnsi="宋体" w:cs="宋体"/>
          <w:b w:val="0"/>
          <w:bCs w:val="0"/>
          <w:color w:val="auto"/>
          <w:sz w:val="24"/>
          <w:highlight w:val="none"/>
          <w:lang w:val="zh-CN"/>
        </w:rPr>
        <w:t>人在制作</w:t>
      </w:r>
      <w:r>
        <w:rPr>
          <w:rFonts w:hint="eastAsia" w:ascii="宋体" w:hAnsi="宋体" w:cs="宋体"/>
          <w:b w:val="0"/>
          <w:bCs w:val="0"/>
          <w:color w:val="auto"/>
          <w:sz w:val="24"/>
          <w:highlight w:val="none"/>
          <w:lang w:val="zh-CN" w:eastAsia="zh-CN"/>
        </w:rPr>
        <w:t>响应</w:t>
      </w:r>
      <w:r>
        <w:rPr>
          <w:rFonts w:hint="eastAsia" w:ascii="宋体" w:hAnsi="宋体" w:cs="宋体"/>
          <w:b w:val="0"/>
          <w:bCs w:val="0"/>
          <w:color w:val="auto"/>
          <w:sz w:val="24"/>
          <w:highlight w:val="none"/>
          <w:lang w:val="zh-CN"/>
        </w:rPr>
        <w:t>文件时仔细研究项目需求说明。项目需求包括技术要求和商务要求:技术要求是指对采购标的功能和质量要求，包括性能、材料、结构、外观、安全，或者服务内容和标准等</w:t>
      </w:r>
      <w:r>
        <w:rPr>
          <w:rFonts w:hint="eastAsia" w:ascii="宋体" w:hAnsi="宋体" w:cs="宋体"/>
          <w:b w:val="0"/>
          <w:bCs w:val="0"/>
          <w:color w:val="auto"/>
          <w:sz w:val="24"/>
          <w:highlight w:val="none"/>
          <w:lang w:val="zh-CN" w:eastAsia="zh-CN"/>
        </w:rPr>
        <w:t>；</w:t>
      </w:r>
      <w:r>
        <w:rPr>
          <w:rFonts w:hint="eastAsia" w:ascii="宋体" w:hAnsi="宋体" w:cs="宋体"/>
          <w:b w:val="0"/>
          <w:bCs w:val="0"/>
          <w:color w:val="auto"/>
          <w:sz w:val="24"/>
          <w:highlight w:val="none"/>
          <w:lang w:val="zh-CN"/>
        </w:rPr>
        <w:t>商务要求是指取得采购标的的时间、地点、财务和服务要求，包括交付（实施）的时间（期限）和地点（范围），付款条件（进度和方法）</w:t>
      </w:r>
      <w:r>
        <w:rPr>
          <w:rFonts w:hint="eastAsia" w:ascii="宋体" w:hAnsi="宋体" w:cs="宋体"/>
          <w:b w:val="0"/>
          <w:bCs w:val="0"/>
          <w:color w:val="auto"/>
          <w:sz w:val="24"/>
          <w:highlight w:val="none"/>
          <w:lang w:val="zh-CN" w:eastAsia="zh-CN"/>
        </w:rPr>
        <w:t>，</w:t>
      </w:r>
      <w:r>
        <w:rPr>
          <w:rFonts w:hint="eastAsia" w:ascii="宋体" w:hAnsi="宋体" w:cs="宋体"/>
          <w:b w:val="0"/>
          <w:bCs w:val="0"/>
          <w:color w:val="auto"/>
          <w:sz w:val="24"/>
          <w:highlight w:val="none"/>
          <w:lang w:val="zh-CN"/>
        </w:rPr>
        <w:t>包装和运输，售后服务，保险等。</w:t>
      </w:r>
    </w:p>
    <w:p w14:paraId="3776870F">
      <w:pPr>
        <w:wordWrap w:val="0"/>
        <w:spacing w:line="360" w:lineRule="auto"/>
        <w:ind w:firstLine="480" w:firstLineChars="200"/>
        <w:rPr>
          <w:rFonts w:hint="eastAsia" w:ascii="宋体" w:hAnsi="宋体" w:cs="宋体"/>
          <w:b/>
          <w:bCs/>
          <w:color w:val="auto"/>
          <w:sz w:val="24"/>
          <w:highlight w:val="none"/>
          <w:lang w:val="zh-CN"/>
        </w:rPr>
      </w:pPr>
      <w:r>
        <w:rPr>
          <w:rFonts w:hint="eastAsia" w:ascii="宋体" w:hAnsi="宋体" w:cs="宋体"/>
          <w:b w:val="0"/>
          <w:bCs w:val="0"/>
          <w:color w:val="auto"/>
          <w:sz w:val="24"/>
          <w:highlight w:val="none"/>
          <w:lang w:val="zh-CN" w:eastAsia="zh-CN"/>
        </w:rPr>
        <w:t>响应</w:t>
      </w:r>
      <w:r>
        <w:rPr>
          <w:rFonts w:hint="eastAsia" w:ascii="宋体" w:hAnsi="宋体" w:cs="宋体"/>
          <w:b w:val="0"/>
          <w:bCs w:val="0"/>
          <w:color w:val="auto"/>
          <w:sz w:val="24"/>
          <w:highlight w:val="none"/>
          <w:lang w:val="zh-CN"/>
        </w:rPr>
        <w:t>人不能简单照搬照抄</w:t>
      </w:r>
      <w:r>
        <w:rPr>
          <w:rFonts w:hint="eastAsia" w:ascii="宋体" w:hAnsi="宋体" w:cs="宋体"/>
          <w:b w:val="0"/>
          <w:bCs w:val="0"/>
          <w:color w:val="auto"/>
          <w:sz w:val="24"/>
          <w:highlight w:val="none"/>
          <w:lang w:val="zh-CN" w:eastAsia="zh-CN"/>
        </w:rPr>
        <w:t>采购</w:t>
      </w:r>
      <w:r>
        <w:rPr>
          <w:rFonts w:hint="eastAsia" w:ascii="宋体" w:hAnsi="宋体" w:cs="宋体"/>
          <w:b w:val="0"/>
          <w:bCs w:val="0"/>
          <w:color w:val="auto"/>
          <w:sz w:val="24"/>
          <w:highlight w:val="none"/>
          <w:lang w:val="zh-CN"/>
        </w:rPr>
        <w:t>文件项目需求说明中的技术、商务要求，必须作实事求是的响应。如</w:t>
      </w:r>
      <w:r>
        <w:rPr>
          <w:rFonts w:hint="eastAsia" w:ascii="宋体" w:hAnsi="宋体" w:cs="宋体"/>
          <w:b w:val="0"/>
          <w:bCs w:val="0"/>
          <w:color w:val="auto"/>
          <w:sz w:val="24"/>
          <w:highlight w:val="none"/>
          <w:lang w:val="zh-CN" w:eastAsia="zh-CN"/>
        </w:rPr>
        <w:t>响应</w:t>
      </w:r>
      <w:r>
        <w:rPr>
          <w:rFonts w:hint="eastAsia" w:ascii="宋体" w:hAnsi="宋体" w:cs="宋体"/>
          <w:b w:val="0"/>
          <w:bCs w:val="0"/>
          <w:color w:val="auto"/>
          <w:sz w:val="24"/>
          <w:highlight w:val="none"/>
          <w:lang w:val="zh-CN"/>
        </w:rPr>
        <w:t>人提供的货物和服务同采购人提出的项目需求说明中的技术、商务要求不同的，必须在《商务部分正负偏离表》和《技术部分正负偏离表》上明示。</w:t>
      </w:r>
    </w:p>
    <w:p w14:paraId="71990A97">
      <w:pPr>
        <w:pageBreakBefore w:val="0"/>
        <w:kinsoku/>
        <w:wordWrap/>
        <w:overflowPunct/>
        <w:topLinePunct w:val="0"/>
        <w:bidi w:val="0"/>
        <w:spacing w:line="360" w:lineRule="auto"/>
        <w:ind w:firstLine="480"/>
        <w:contextualSpacing/>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eastAsia="zh-CN"/>
        </w:rPr>
        <w:t>一、</w:t>
      </w:r>
      <w:r>
        <w:rPr>
          <w:rFonts w:hint="eastAsia" w:ascii="Times New Roman" w:hAnsi="Times New Roman" w:eastAsia="宋体" w:cs="Times New Roman"/>
          <w:b/>
          <w:bCs/>
          <w:color w:val="auto"/>
          <w:sz w:val="24"/>
          <w:szCs w:val="24"/>
          <w:highlight w:val="none"/>
        </w:rPr>
        <w:t>有关要求说明</w:t>
      </w:r>
    </w:p>
    <w:p w14:paraId="6D8473A5">
      <w:pPr>
        <w:pageBreakBefore w:val="0"/>
        <w:kinsoku/>
        <w:wordWrap/>
        <w:overflowPunct/>
        <w:topLinePunct w:val="0"/>
        <w:bidi w:val="0"/>
        <w:spacing w:line="360" w:lineRule="auto"/>
        <w:ind w:firstLine="482"/>
        <w:textAlignment w:val="auto"/>
        <w:rPr>
          <w:rFonts w:ascii="Times New Roman" w:hAnsi="Times New Roman" w:eastAsia="宋体"/>
          <w:b/>
          <w:color w:val="auto"/>
          <w:sz w:val="24"/>
          <w:szCs w:val="24"/>
          <w:highlight w:val="none"/>
          <w:lang w:val="zh-CN"/>
        </w:rPr>
      </w:pPr>
      <w:r>
        <w:rPr>
          <w:rFonts w:hint="eastAsia" w:ascii="Times New Roman" w:hAnsi="Times New Roman" w:eastAsia="宋体"/>
          <w:b/>
          <w:color w:val="auto"/>
          <w:sz w:val="24"/>
          <w:szCs w:val="24"/>
          <w:highlight w:val="none"/>
        </w:rPr>
        <w:t>1</w:t>
      </w:r>
      <w:r>
        <w:rPr>
          <w:rFonts w:ascii="Times New Roman" w:hAnsi="Times New Roman" w:eastAsia="宋体"/>
          <w:b/>
          <w:color w:val="auto"/>
          <w:sz w:val="24"/>
          <w:szCs w:val="24"/>
          <w:highlight w:val="none"/>
          <w:lang w:val="zh-CN"/>
        </w:rPr>
        <w:t>、主要技术参数：</w:t>
      </w:r>
    </w:p>
    <w:p w14:paraId="7E6811B7">
      <w:pPr>
        <w:pageBreakBefore w:val="0"/>
        <w:kinsoku/>
        <w:wordWrap/>
        <w:overflowPunct/>
        <w:topLinePunct w:val="0"/>
        <w:bidi w:val="0"/>
        <w:spacing w:line="360" w:lineRule="auto"/>
        <w:ind w:firstLine="480"/>
        <w:textAlignment w:val="auto"/>
        <w:rPr>
          <w:rFonts w:ascii="Times New Roman" w:hAnsi="Times New Roman" w:eastAsia="宋体"/>
          <w:b/>
          <w:color w:val="auto"/>
          <w:sz w:val="24"/>
          <w:szCs w:val="24"/>
          <w:highlight w:val="none"/>
          <w:lang w:val="zh-CN"/>
        </w:rPr>
      </w:pPr>
      <w:r>
        <w:rPr>
          <w:rFonts w:ascii="Times New Roman" w:hAnsi="Times New Roman" w:eastAsia="宋体"/>
          <w:color w:val="auto"/>
          <w:sz w:val="24"/>
          <w:szCs w:val="24"/>
          <w:highlight w:val="none"/>
          <w:lang w:val="zh-CN"/>
        </w:rPr>
        <w:t>为</w:t>
      </w:r>
      <w:r>
        <w:rPr>
          <w:rFonts w:ascii="Times New Roman" w:hAnsi="Times New Roman" w:eastAsia="宋体"/>
          <w:color w:val="auto"/>
          <w:sz w:val="24"/>
          <w:szCs w:val="24"/>
          <w:highlight w:val="none"/>
        </w:rPr>
        <w:t>鼓励</w:t>
      </w:r>
      <w:r>
        <w:rPr>
          <w:rFonts w:ascii="Times New Roman" w:hAnsi="Times New Roman" w:eastAsia="宋体"/>
          <w:color w:val="auto"/>
          <w:sz w:val="24"/>
          <w:szCs w:val="24"/>
          <w:highlight w:val="none"/>
          <w:lang w:val="zh-CN"/>
        </w:rPr>
        <w:t>不同品牌的充分竞争，如某主要技术参数属于个别品牌专有，则该主要技术参数不具有限制性，供应商可对该参数进行适当调整，并说明调整的理由。</w:t>
      </w:r>
    </w:p>
    <w:p w14:paraId="1E19F7D1">
      <w:pPr>
        <w:pageBreakBefore w:val="0"/>
        <w:kinsoku/>
        <w:wordWrap/>
        <w:overflowPunct/>
        <w:topLinePunct w:val="0"/>
        <w:bidi w:val="0"/>
        <w:spacing w:line="360" w:lineRule="auto"/>
        <w:ind w:firstLine="482"/>
        <w:textAlignment w:val="auto"/>
        <w:rPr>
          <w:rFonts w:ascii="Times New Roman" w:hAnsi="Times New Roman" w:eastAsia="宋体"/>
          <w:b/>
          <w:color w:val="auto"/>
          <w:sz w:val="24"/>
          <w:szCs w:val="24"/>
          <w:highlight w:val="none"/>
          <w:lang w:val="zh-CN"/>
        </w:rPr>
      </w:pPr>
      <w:r>
        <w:rPr>
          <w:rFonts w:hint="eastAsia" w:ascii="Times New Roman" w:hAnsi="Times New Roman" w:eastAsia="宋体"/>
          <w:b/>
          <w:color w:val="auto"/>
          <w:sz w:val="24"/>
          <w:szCs w:val="24"/>
          <w:highlight w:val="none"/>
          <w:lang w:val="en-US" w:eastAsia="zh-CN"/>
        </w:rPr>
        <w:t>2</w:t>
      </w:r>
      <w:r>
        <w:rPr>
          <w:rFonts w:ascii="Times New Roman" w:hAnsi="Times New Roman" w:eastAsia="宋体"/>
          <w:b/>
          <w:color w:val="auto"/>
          <w:sz w:val="24"/>
          <w:szCs w:val="24"/>
          <w:highlight w:val="none"/>
        </w:rPr>
        <w:t>、</w:t>
      </w:r>
      <w:r>
        <w:rPr>
          <w:rFonts w:ascii="Times New Roman" w:hAnsi="Times New Roman" w:eastAsia="宋体"/>
          <w:b/>
          <w:color w:val="auto"/>
          <w:sz w:val="24"/>
          <w:szCs w:val="24"/>
          <w:highlight w:val="none"/>
          <w:lang w:val="zh-CN"/>
        </w:rPr>
        <w:t>产品要求：</w:t>
      </w:r>
    </w:p>
    <w:p w14:paraId="4E5C1E5B">
      <w:pPr>
        <w:pageBreakBefore w:val="0"/>
        <w:kinsoku/>
        <w:wordWrap/>
        <w:overflowPunct/>
        <w:topLinePunct w:val="0"/>
        <w:bidi w:val="0"/>
        <w:spacing w:line="360" w:lineRule="auto"/>
        <w:ind w:firstLine="480"/>
        <w:textAlignment w:val="auto"/>
        <w:rPr>
          <w:rFonts w:hint="eastAsia" w:ascii="Times New Roman" w:hAnsi="Times New Roman" w:eastAsia="宋体" w:cs="宋体"/>
          <w:b/>
          <w:color w:val="auto"/>
          <w:sz w:val="24"/>
          <w:szCs w:val="24"/>
          <w:highlight w:val="none"/>
          <w:lang w:eastAsia="zh-CN"/>
        </w:rPr>
      </w:pPr>
      <w:r>
        <w:rPr>
          <w:rFonts w:ascii="Times New Roman" w:hAnsi="Times New Roman" w:eastAsia="宋体"/>
          <w:color w:val="auto"/>
          <w:sz w:val="24"/>
          <w:szCs w:val="24"/>
          <w:highlight w:val="none"/>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77ECC65A">
      <w:pPr>
        <w:keepNext w:val="0"/>
        <w:keepLines w:val="0"/>
        <w:pageBreakBefore w:val="0"/>
        <w:widowControl w:val="0"/>
        <w:numPr>
          <w:ilvl w:val="0"/>
          <w:numId w:val="1"/>
        </w:numPr>
        <w:kinsoku/>
        <w:wordWrap/>
        <w:topLinePunct w:val="0"/>
        <w:autoSpaceDE/>
        <w:autoSpaceDN/>
        <w:bidi w:val="0"/>
        <w:spacing w:line="360" w:lineRule="auto"/>
        <w:ind w:firstLine="482" w:firstLineChars="200"/>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项目需求内容</w:t>
      </w:r>
    </w:p>
    <w:p w14:paraId="352C3E39">
      <w:pPr>
        <w:keepNext w:val="0"/>
        <w:keepLines w:val="0"/>
        <w:pageBreakBefore w:val="0"/>
        <w:widowControl w:val="0"/>
        <w:numPr>
          <w:ilvl w:val="0"/>
          <w:numId w:val="0"/>
        </w:numPr>
        <w:kinsoku/>
        <w:wordWrap/>
        <w:topLinePunct w:val="0"/>
        <w:autoSpaceDE/>
        <w:autoSpaceDN/>
        <w:bidi w:val="0"/>
        <w:spacing w:line="360" w:lineRule="auto"/>
        <w:rPr>
          <w:rFonts w:hint="default" w:ascii="Times New Roman" w:hAnsi="Times New Roman" w:eastAsia="宋体" w:cs="宋体"/>
          <w:b/>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t xml:space="preserve">    1、项目需求清单</w:t>
      </w:r>
    </w:p>
    <w:tbl>
      <w:tblPr>
        <w:tblStyle w:val="25"/>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19"/>
        <w:gridCol w:w="858"/>
        <w:gridCol w:w="1928"/>
        <w:gridCol w:w="25"/>
        <w:gridCol w:w="517"/>
        <w:gridCol w:w="845"/>
        <w:gridCol w:w="20"/>
        <w:gridCol w:w="3484"/>
      </w:tblGrid>
      <w:tr w14:paraId="2B4A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7" w:type="dxa"/>
            <w:noWrap w:val="0"/>
            <w:vAlign w:val="center"/>
          </w:tcPr>
          <w:p w14:paraId="2739F4B5">
            <w:pPr>
              <w:spacing w:line="440" w:lineRule="exact"/>
              <w:ind w:left="991" w:hanging="989"/>
              <w:jc w:val="center"/>
              <w:rPr>
                <w:rFonts w:ascii="Arial" w:hAnsi="Arial" w:cs="Arial"/>
                <w:color w:val="auto"/>
                <w:sz w:val="24"/>
                <w:highlight w:val="none"/>
              </w:rPr>
            </w:pPr>
            <w:r>
              <w:rPr>
                <w:rFonts w:ascii="Arial" w:hAnsi="宋体" w:cs="Arial"/>
                <w:color w:val="auto"/>
                <w:sz w:val="24"/>
                <w:highlight w:val="none"/>
              </w:rPr>
              <w:t>序号</w:t>
            </w:r>
          </w:p>
        </w:tc>
        <w:tc>
          <w:tcPr>
            <w:tcW w:w="1677" w:type="dxa"/>
            <w:gridSpan w:val="2"/>
            <w:noWrap w:val="0"/>
            <w:vAlign w:val="center"/>
          </w:tcPr>
          <w:p w14:paraId="2AF55AAE">
            <w:pPr>
              <w:spacing w:line="440" w:lineRule="exact"/>
              <w:ind w:left="991" w:hanging="989"/>
              <w:jc w:val="center"/>
              <w:rPr>
                <w:rFonts w:ascii="Arial" w:hAnsi="Arial" w:cs="Arial"/>
                <w:color w:val="auto"/>
                <w:sz w:val="24"/>
                <w:highlight w:val="none"/>
              </w:rPr>
            </w:pPr>
            <w:r>
              <w:rPr>
                <w:rFonts w:ascii="Arial" w:hAnsi="宋体" w:cs="Arial"/>
                <w:color w:val="auto"/>
                <w:sz w:val="24"/>
                <w:highlight w:val="none"/>
              </w:rPr>
              <w:t>产品名称</w:t>
            </w:r>
          </w:p>
        </w:tc>
        <w:tc>
          <w:tcPr>
            <w:tcW w:w="2470" w:type="dxa"/>
            <w:gridSpan w:val="3"/>
            <w:noWrap w:val="0"/>
            <w:vAlign w:val="center"/>
          </w:tcPr>
          <w:p w14:paraId="020DE172">
            <w:pPr>
              <w:spacing w:line="440" w:lineRule="exact"/>
              <w:ind w:left="991" w:hanging="989"/>
              <w:jc w:val="center"/>
              <w:rPr>
                <w:rFonts w:ascii="Arial" w:hAnsi="Arial" w:cs="Arial"/>
                <w:color w:val="auto"/>
                <w:sz w:val="24"/>
                <w:highlight w:val="none"/>
              </w:rPr>
            </w:pPr>
            <w:r>
              <w:rPr>
                <w:rFonts w:ascii="Arial" w:hAnsi="宋体" w:cs="Arial"/>
                <w:color w:val="auto"/>
                <w:sz w:val="24"/>
                <w:highlight w:val="none"/>
              </w:rPr>
              <w:t>型号规格</w:t>
            </w:r>
          </w:p>
        </w:tc>
        <w:tc>
          <w:tcPr>
            <w:tcW w:w="845" w:type="dxa"/>
            <w:noWrap w:val="0"/>
            <w:vAlign w:val="center"/>
          </w:tcPr>
          <w:p w14:paraId="6FDBF92C">
            <w:pPr>
              <w:spacing w:line="440" w:lineRule="exact"/>
              <w:ind w:left="991" w:hanging="989"/>
              <w:jc w:val="center"/>
              <w:rPr>
                <w:rFonts w:ascii="Arial" w:hAnsi="Arial" w:cs="Arial"/>
                <w:color w:val="auto"/>
                <w:sz w:val="24"/>
                <w:highlight w:val="none"/>
              </w:rPr>
            </w:pPr>
            <w:r>
              <w:rPr>
                <w:rFonts w:ascii="Arial" w:hAnsi="宋体" w:cs="Arial"/>
                <w:color w:val="auto"/>
                <w:sz w:val="24"/>
                <w:highlight w:val="none"/>
              </w:rPr>
              <w:t>数量</w:t>
            </w:r>
          </w:p>
        </w:tc>
        <w:tc>
          <w:tcPr>
            <w:tcW w:w="3504" w:type="dxa"/>
            <w:gridSpan w:val="2"/>
            <w:noWrap w:val="0"/>
            <w:vAlign w:val="center"/>
          </w:tcPr>
          <w:p w14:paraId="4515E3EB">
            <w:pPr>
              <w:spacing w:line="320" w:lineRule="exact"/>
              <w:jc w:val="center"/>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备注</w:t>
            </w:r>
          </w:p>
        </w:tc>
      </w:tr>
      <w:tr w14:paraId="5832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7" w:type="dxa"/>
            <w:noWrap w:val="0"/>
            <w:vAlign w:val="center"/>
          </w:tcPr>
          <w:p w14:paraId="63258D61">
            <w:pPr>
              <w:ind w:left="991" w:hanging="989"/>
              <w:jc w:val="center"/>
              <w:rPr>
                <w:rFonts w:hint="eastAsia" w:ascii="Arial" w:hAnsi="Arial" w:cs="Arial"/>
                <w:color w:val="auto"/>
                <w:sz w:val="24"/>
                <w:highlight w:val="none"/>
              </w:rPr>
            </w:pPr>
            <w:r>
              <w:rPr>
                <w:rFonts w:hint="eastAsia" w:ascii="Arial" w:hAnsi="Arial" w:cs="Arial"/>
                <w:color w:val="auto"/>
                <w:sz w:val="24"/>
                <w:highlight w:val="none"/>
              </w:rPr>
              <w:t>1</w:t>
            </w:r>
          </w:p>
        </w:tc>
        <w:tc>
          <w:tcPr>
            <w:tcW w:w="1677" w:type="dxa"/>
            <w:gridSpan w:val="2"/>
            <w:noWrap w:val="0"/>
            <w:vAlign w:val="center"/>
          </w:tcPr>
          <w:p w14:paraId="303452C4">
            <w:pPr>
              <w:jc w:val="center"/>
              <w:rPr>
                <w:rFonts w:hint="eastAsia" w:ascii="Arial" w:hAnsi="Arial" w:cs="Arial"/>
                <w:color w:val="auto"/>
                <w:sz w:val="24"/>
                <w:highlight w:val="none"/>
              </w:rPr>
            </w:pPr>
            <w:r>
              <w:rPr>
                <w:rFonts w:hint="eastAsia" w:ascii="Arial" w:hAnsi="Arial" w:cs="Arial"/>
                <w:color w:val="auto"/>
                <w:sz w:val="24"/>
                <w:highlight w:val="none"/>
              </w:rPr>
              <w:t>板式换热机组</w:t>
            </w:r>
          </w:p>
        </w:tc>
        <w:tc>
          <w:tcPr>
            <w:tcW w:w="2470" w:type="dxa"/>
            <w:gridSpan w:val="3"/>
            <w:noWrap w:val="0"/>
            <w:vAlign w:val="center"/>
          </w:tcPr>
          <w:p w14:paraId="6E77DB12">
            <w:pPr>
              <w:rPr>
                <w:rFonts w:hint="eastAsia" w:ascii="Arial" w:hAnsi="Arial" w:cs="Arial"/>
                <w:color w:val="auto"/>
                <w:sz w:val="24"/>
                <w:highlight w:val="none"/>
              </w:rPr>
            </w:pPr>
            <w:r>
              <w:rPr>
                <w:rFonts w:hint="eastAsia" w:ascii="Arial" w:hAnsi="Arial" w:cs="Arial"/>
                <w:color w:val="auto"/>
                <w:sz w:val="24"/>
                <w:highlight w:val="none"/>
              </w:rPr>
              <w:t>304L//750KW</w:t>
            </w:r>
          </w:p>
        </w:tc>
        <w:tc>
          <w:tcPr>
            <w:tcW w:w="845" w:type="dxa"/>
            <w:noWrap w:val="0"/>
            <w:vAlign w:val="center"/>
          </w:tcPr>
          <w:p w14:paraId="717978B1">
            <w:pPr>
              <w:spacing w:line="440" w:lineRule="exact"/>
              <w:ind w:left="991" w:hanging="989"/>
              <w:jc w:val="center"/>
              <w:rPr>
                <w:rFonts w:hint="eastAsia" w:ascii="Arial" w:hAnsi="Arial" w:cs="Arial"/>
                <w:color w:val="auto"/>
                <w:sz w:val="24"/>
                <w:highlight w:val="none"/>
              </w:rPr>
            </w:pPr>
            <w:r>
              <w:rPr>
                <w:rFonts w:hint="eastAsia" w:ascii="Arial" w:hAnsi="Arial" w:cs="Arial"/>
                <w:color w:val="auto"/>
                <w:sz w:val="24"/>
                <w:highlight w:val="none"/>
              </w:rPr>
              <w:t>1套</w:t>
            </w:r>
          </w:p>
        </w:tc>
        <w:tc>
          <w:tcPr>
            <w:tcW w:w="3504" w:type="dxa"/>
            <w:gridSpan w:val="2"/>
            <w:noWrap w:val="0"/>
            <w:vAlign w:val="center"/>
          </w:tcPr>
          <w:p w14:paraId="71BB0FDD">
            <w:pPr>
              <w:spacing w:line="400" w:lineRule="exact"/>
              <w:jc w:val="center"/>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包含板式换热机组、系统稳压补水装置、软水系统等</w:t>
            </w:r>
          </w:p>
        </w:tc>
      </w:tr>
      <w:tr w14:paraId="3BCB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7" w:type="dxa"/>
            <w:noWrap w:val="0"/>
            <w:vAlign w:val="center"/>
          </w:tcPr>
          <w:p w14:paraId="199787B3">
            <w:pPr>
              <w:ind w:left="991" w:hanging="989"/>
              <w:jc w:val="center"/>
              <w:rPr>
                <w:rFonts w:hint="eastAsia" w:ascii="Arial" w:hAnsi="Arial" w:cs="Arial"/>
                <w:color w:val="auto"/>
                <w:sz w:val="24"/>
                <w:highlight w:val="none"/>
              </w:rPr>
            </w:pPr>
            <w:r>
              <w:rPr>
                <w:rFonts w:hint="eastAsia" w:ascii="Arial" w:hAnsi="Arial" w:cs="Arial"/>
                <w:color w:val="auto"/>
                <w:sz w:val="24"/>
                <w:highlight w:val="none"/>
              </w:rPr>
              <w:t>2</w:t>
            </w:r>
          </w:p>
        </w:tc>
        <w:tc>
          <w:tcPr>
            <w:tcW w:w="1677" w:type="dxa"/>
            <w:gridSpan w:val="2"/>
            <w:noWrap w:val="0"/>
            <w:vAlign w:val="center"/>
          </w:tcPr>
          <w:p w14:paraId="41A69D3F">
            <w:pPr>
              <w:jc w:val="center"/>
              <w:rPr>
                <w:rFonts w:hint="eastAsia" w:ascii="Arial" w:hAnsi="Arial" w:cs="Arial"/>
                <w:color w:val="auto"/>
                <w:sz w:val="24"/>
                <w:highlight w:val="none"/>
              </w:rPr>
            </w:pPr>
            <w:r>
              <w:rPr>
                <w:rFonts w:hint="eastAsia" w:ascii="Arial" w:hAnsi="Arial" w:cs="Arial"/>
                <w:color w:val="auto"/>
                <w:sz w:val="24"/>
                <w:highlight w:val="none"/>
              </w:rPr>
              <w:t>机组现场安装</w:t>
            </w:r>
          </w:p>
        </w:tc>
        <w:tc>
          <w:tcPr>
            <w:tcW w:w="2470" w:type="dxa"/>
            <w:gridSpan w:val="3"/>
            <w:noWrap w:val="0"/>
            <w:vAlign w:val="center"/>
          </w:tcPr>
          <w:p w14:paraId="47434AB8">
            <w:pPr>
              <w:rPr>
                <w:rFonts w:hint="eastAsia" w:ascii="Arial" w:hAnsi="Arial" w:cs="Arial"/>
                <w:color w:val="auto"/>
                <w:sz w:val="24"/>
                <w:highlight w:val="none"/>
              </w:rPr>
            </w:pPr>
            <w:r>
              <w:rPr>
                <w:rFonts w:hint="eastAsia" w:ascii="Arial" w:hAnsi="Arial" w:cs="Arial"/>
                <w:color w:val="auto"/>
                <w:sz w:val="24"/>
                <w:highlight w:val="none"/>
              </w:rPr>
              <w:t>含材料，施工，保温，试压，调试运行</w:t>
            </w:r>
          </w:p>
        </w:tc>
        <w:tc>
          <w:tcPr>
            <w:tcW w:w="845" w:type="dxa"/>
            <w:noWrap w:val="0"/>
            <w:vAlign w:val="center"/>
          </w:tcPr>
          <w:p w14:paraId="71317BE6">
            <w:pPr>
              <w:spacing w:line="440" w:lineRule="exact"/>
              <w:ind w:left="991" w:hanging="989"/>
              <w:jc w:val="center"/>
              <w:rPr>
                <w:rFonts w:hint="eastAsia" w:ascii="Arial" w:hAnsi="Arial" w:cs="Arial"/>
                <w:color w:val="auto"/>
                <w:sz w:val="24"/>
                <w:highlight w:val="none"/>
              </w:rPr>
            </w:pPr>
            <w:r>
              <w:rPr>
                <w:rFonts w:hint="eastAsia" w:ascii="Arial" w:hAnsi="Arial" w:cs="Arial"/>
                <w:color w:val="auto"/>
                <w:sz w:val="24"/>
                <w:highlight w:val="none"/>
              </w:rPr>
              <w:t>1套</w:t>
            </w:r>
          </w:p>
        </w:tc>
        <w:tc>
          <w:tcPr>
            <w:tcW w:w="3504" w:type="dxa"/>
            <w:gridSpan w:val="2"/>
            <w:noWrap w:val="0"/>
            <w:vAlign w:val="center"/>
          </w:tcPr>
          <w:p w14:paraId="106AC867">
            <w:pPr>
              <w:spacing w:line="400" w:lineRule="exact"/>
              <w:jc w:val="center"/>
              <w:rPr>
                <w:rFonts w:hint="eastAsia" w:ascii="Arial" w:hAnsi="Arial" w:cs="Arial"/>
                <w:color w:val="auto"/>
                <w:sz w:val="24"/>
                <w:highlight w:val="none"/>
              </w:rPr>
            </w:pPr>
          </w:p>
        </w:tc>
      </w:tr>
      <w:tr w14:paraId="00F7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3" w:type="dxa"/>
            <w:gridSpan w:val="9"/>
            <w:noWrap w:val="0"/>
            <w:vAlign w:val="center"/>
          </w:tcPr>
          <w:p w14:paraId="5C8EFB22">
            <w:pPr>
              <w:spacing w:line="560" w:lineRule="exact"/>
              <w:rPr>
                <w:rFonts w:hint="eastAsia" w:ascii="宋体" w:hAnsi="宋体"/>
                <w:bCs/>
                <w:color w:val="auto"/>
                <w:sz w:val="24"/>
                <w:highlight w:val="none"/>
              </w:rPr>
            </w:pPr>
            <w:r>
              <w:rPr>
                <w:rFonts w:hint="eastAsia" w:ascii="宋体" w:hAnsi="宋体"/>
                <w:bCs/>
                <w:color w:val="auto"/>
                <w:sz w:val="24"/>
                <w:highlight w:val="none"/>
              </w:rPr>
              <w:t>机组板换</w:t>
            </w:r>
            <w:r>
              <w:rPr>
                <w:rFonts w:hint="eastAsia" w:ascii="宋体" w:hAnsi="宋体" w:cs="宋体"/>
                <w:color w:val="auto"/>
                <w:kern w:val="0"/>
                <w:sz w:val="24"/>
                <w:highlight w:val="none"/>
              </w:rPr>
              <w:t>1°温差，</w:t>
            </w:r>
            <w:r>
              <w:rPr>
                <w:rFonts w:hint="eastAsia" w:ascii="宋体" w:hAnsi="宋体"/>
                <w:bCs/>
                <w:color w:val="auto"/>
                <w:sz w:val="24"/>
                <w:highlight w:val="none"/>
              </w:rPr>
              <w:t>不锈钢304板  承压1.6MPa，单台换热量750kw</w:t>
            </w:r>
          </w:p>
          <w:p w14:paraId="538503C0">
            <w:pPr>
              <w:spacing w:line="560" w:lineRule="exact"/>
              <w:rPr>
                <w:rFonts w:hint="eastAsia" w:ascii="宋体" w:hAnsi="宋体"/>
                <w:bCs/>
                <w:color w:val="auto"/>
                <w:sz w:val="24"/>
                <w:highlight w:val="none"/>
              </w:rPr>
            </w:pPr>
            <w:r>
              <w:rPr>
                <w:rFonts w:hint="eastAsia" w:ascii="宋体" w:hAnsi="宋体"/>
                <w:bCs/>
                <w:color w:val="auto"/>
                <w:sz w:val="24"/>
                <w:highlight w:val="none"/>
              </w:rPr>
              <w:t>一次测：供回水温度 7/12℃，二次侧：供回水温度8/13℃</w:t>
            </w:r>
          </w:p>
        </w:tc>
      </w:tr>
      <w:tr w14:paraId="6C2F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3" w:type="dxa"/>
            <w:gridSpan w:val="9"/>
            <w:noWrap w:val="0"/>
            <w:vAlign w:val="center"/>
          </w:tcPr>
          <w:p w14:paraId="324DB3F6">
            <w:pPr>
              <w:spacing w:line="400" w:lineRule="exact"/>
              <w:rPr>
                <w:rFonts w:hint="eastAsia" w:ascii="Arial" w:hAnsi="Arial" w:cs="Arial"/>
                <w:b/>
                <w:color w:val="auto"/>
                <w:sz w:val="24"/>
                <w:highlight w:val="none"/>
              </w:rPr>
            </w:pPr>
            <w:r>
              <w:rPr>
                <w:rFonts w:hint="eastAsia" w:ascii="Arial" w:hAnsi="Arial" w:cs="Arial"/>
                <w:b/>
                <w:color w:val="auto"/>
                <w:sz w:val="24"/>
                <w:highlight w:val="none"/>
              </w:rPr>
              <w:t>机组配置清单：</w:t>
            </w:r>
          </w:p>
        </w:tc>
      </w:tr>
      <w:tr w14:paraId="7A1B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56" w:type="dxa"/>
            <w:gridSpan w:val="2"/>
            <w:noWrap w:val="0"/>
            <w:vAlign w:val="center"/>
          </w:tcPr>
          <w:p w14:paraId="57D62734">
            <w:pPr>
              <w:ind w:left="991" w:hanging="989"/>
              <w:jc w:val="center"/>
              <w:rPr>
                <w:rFonts w:hint="eastAsia" w:ascii="Arial" w:hAnsi="Arial" w:cs="Arial"/>
                <w:b/>
                <w:bCs/>
                <w:color w:val="auto"/>
                <w:sz w:val="24"/>
                <w:highlight w:val="none"/>
              </w:rPr>
            </w:pPr>
            <w:r>
              <w:rPr>
                <w:rFonts w:hint="eastAsia" w:ascii="Arial" w:hAnsi="Arial" w:cs="Arial"/>
                <w:b/>
                <w:bCs/>
                <w:color w:val="auto"/>
                <w:sz w:val="24"/>
                <w:highlight w:val="none"/>
              </w:rPr>
              <w:t>名称</w:t>
            </w:r>
          </w:p>
        </w:tc>
        <w:tc>
          <w:tcPr>
            <w:tcW w:w="2786" w:type="dxa"/>
            <w:gridSpan w:val="2"/>
            <w:noWrap w:val="0"/>
            <w:vAlign w:val="center"/>
          </w:tcPr>
          <w:p w14:paraId="7FFC5F08">
            <w:pPr>
              <w:spacing w:line="400" w:lineRule="exact"/>
              <w:jc w:val="center"/>
              <w:rPr>
                <w:rFonts w:hint="eastAsia" w:ascii="Arial" w:hAnsi="Arial" w:cs="Arial"/>
                <w:b/>
                <w:bCs/>
                <w:color w:val="auto"/>
                <w:sz w:val="24"/>
                <w:highlight w:val="none"/>
              </w:rPr>
            </w:pPr>
            <w:r>
              <w:rPr>
                <w:rFonts w:hint="eastAsia" w:ascii="Arial" w:hAnsi="Arial" w:cs="Arial"/>
                <w:b/>
                <w:bCs/>
                <w:color w:val="auto"/>
                <w:sz w:val="24"/>
                <w:highlight w:val="none"/>
              </w:rPr>
              <w:t>规格</w:t>
            </w:r>
          </w:p>
        </w:tc>
        <w:tc>
          <w:tcPr>
            <w:tcW w:w="1407" w:type="dxa"/>
            <w:gridSpan w:val="4"/>
            <w:noWrap w:val="0"/>
            <w:vAlign w:val="center"/>
          </w:tcPr>
          <w:p w14:paraId="09B73A7C">
            <w:pPr>
              <w:spacing w:line="400" w:lineRule="exact"/>
              <w:jc w:val="center"/>
              <w:rPr>
                <w:rFonts w:hint="eastAsia" w:ascii="Arial" w:hAnsi="Arial" w:cs="Arial"/>
                <w:b/>
                <w:bCs/>
                <w:color w:val="auto"/>
                <w:sz w:val="24"/>
                <w:highlight w:val="none"/>
              </w:rPr>
            </w:pPr>
            <w:r>
              <w:rPr>
                <w:rFonts w:hint="eastAsia" w:ascii="Arial" w:hAnsi="Arial" w:cs="Arial"/>
                <w:b/>
                <w:bCs/>
                <w:color w:val="auto"/>
                <w:sz w:val="24"/>
                <w:highlight w:val="none"/>
              </w:rPr>
              <w:t>数量</w:t>
            </w:r>
          </w:p>
        </w:tc>
        <w:tc>
          <w:tcPr>
            <w:tcW w:w="3484" w:type="dxa"/>
            <w:noWrap w:val="0"/>
            <w:vAlign w:val="center"/>
          </w:tcPr>
          <w:p w14:paraId="3CE0EC0F">
            <w:pPr>
              <w:spacing w:line="400" w:lineRule="exact"/>
              <w:jc w:val="center"/>
              <w:rPr>
                <w:rFonts w:hint="eastAsia" w:ascii="Arial" w:hAnsi="Arial" w:cs="Arial"/>
                <w:b/>
                <w:bCs/>
                <w:color w:val="auto"/>
                <w:sz w:val="24"/>
                <w:highlight w:val="none"/>
              </w:rPr>
            </w:pPr>
            <w:r>
              <w:rPr>
                <w:rFonts w:hint="eastAsia" w:ascii="Arial" w:hAnsi="Arial" w:cs="Arial"/>
                <w:b/>
                <w:bCs/>
                <w:color w:val="auto"/>
                <w:sz w:val="24"/>
                <w:highlight w:val="none"/>
              </w:rPr>
              <w:t>建议品牌</w:t>
            </w:r>
          </w:p>
        </w:tc>
      </w:tr>
      <w:tr w14:paraId="0EE4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3" w:type="dxa"/>
            <w:gridSpan w:val="9"/>
            <w:noWrap w:val="0"/>
            <w:vAlign w:val="center"/>
          </w:tcPr>
          <w:p w14:paraId="63BF29CC">
            <w:pPr>
              <w:spacing w:line="500" w:lineRule="exact"/>
              <w:rPr>
                <w:rFonts w:hint="eastAsia" w:ascii="Arial" w:hAnsi="Arial" w:cs="Arial"/>
                <w:b/>
                <w:bCs/>
                <w:color w:val="auto"/>
                <w:sz w:val="24"/>
                <w:highlight w:val="none"/>
              </w:rPr>
            </w:pPr>
            <w:r>
              <w:rPr>
                <w:rFonts w:hint="eastAsia" w:ascii="宋体" w:hAnsi="宋体"/>
                <w:b/>
                <w:bCs/>
                <w:color w:val="auto"/>
                <w:sz w:val="24"/>
                <w:highlight w:val="none"/>
              </w:rPr>
              <w:t>一、板式换热机组含</w:t>
            </w:r>
          </w:p>
        </w:tc>
      </w:tr>
      <w:tr w14:paraId="2BDF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6" w:type="dxa"/>
            <w:gridSpan w:val="2"/>
            <w:noWrap w:val="0"/>
            <w:vAlign w:val="center"/>
          </w:tcPr>
          <w:p w14:paraId="05FE88D9">
            <w:pPr>
              <w:ind w:left="991" w:hanging="989"/>
              <w:jc w:val="center"/>
              <w:rPr>
                <w:rFonts w:hint="eastAsia" w:ascii="Arial" w:hAnsi="Arial" w:cs="Arial"/>
                <w:color w:val="auto"/>
                <w:sz w:val="24"/>
                <w:highlight w:val="none"/>
              </w:rPr>
            </w:pPr>
            <w:r>
              <w:rPr>
                <w:rFonts w:hint="eastAsia" w:ascii="Arial" w:hAnsi="Arial" w:cs="Arial"/>
                <w:color w:val="auto"/>
                <w:sz w:val="24"/>
                <w:highlight w:val="none"/>
              </w:rPr>
              <w:t>板式换热器</w:t>
            </w:r>
          </w:p>
        </w:tc>
        <w:tc>
          <w:tcPr>
            <w:tcW w:w="2786" w:type="dxa"/>
            <w:gridSpan w:val="2"/>
            <w:noWrap w:val="0"/>
            <w:vAlign w:val="center"/>
          </w:tcPr>
          <w:p w14:paraId="06AC4538">
            <w:pPr>
              <w:spacing w:line="400" w:lineRule="exact"/>
              <w:rPr>
                <w:rFonts w:hint="eastAsia" w:ascii="Arial" w:hAnsi="Arial" w:cs="Arial"/>
                <w:color w:val="auto"/>
                <w:sz w:val="24"/>
                <w:highlight w:val="none"/>
              </w:rPr>
            </w:pPr>
            <w:r>
              <w:rPr>
                <w:rFonts w:hint="eastAsia" w:ascii="Arial" w:hAnsi="Arial" w:cs="Arial"/>
                <w:color w:val="auto"/>
                <w:sz w:val="24"/>
                <w:highlight w:val="none"/>
              </w:rPr>
              <w:t xml:space="preserve"> 单台换热量750KW</w:t>
            </w:r>
          </w:p>
        </w:tc>
        <w:tc>
          <w:tcPr>
            <w:tcW w:w="1407" w:type="dxa"/>
            <w:gridSpan w:val="4"/>
            <w:noWrap w:val="0"/>
            <w:vAlign w:val="center"/>
          </w:tcPr>
          <w:p w14:paraId="6540F820">
            <w:pPr>
              <w:spacing w:line="400" w:lineRule="exact"/>
              <w:jc w:val="center"/>
              <w:rPr>
                <w:rFonts w:hint="eastAsia" w:ascii="Arial" w:hAnsi="Arial" w:cs="Arial"/>
                <w:color w:val="auto"/>
                <w:sz w:val="24"/>
                <w:highlight w:val="none"/>
              </w:rPr>
            </w:pPr>
            <w:r>
              <w:rPr>
                <w:rFonts w:hint="eastAsia" w:ascii="Arial" w:hAnsi="Arial" w:cs="Arial"/>
                <w:color w:val="auto"/>
                <w:sz w:val="24"/>
                <w:highlight w:val="none"/>
              </w:rPr>
              <w:t>2台</w:t>
            </w:r>
          </w:p>
        </w:tc>
        <w:tc>
          <w:tcPr>
            <w:tcW w:w="3484" w:type="dxa"/>
            <w:noWrap w:val="0"/>
            <w:vAlign w:val="center"/>
          </w:tcPr>
          <w:p w14:paraId="32523B14">
            <w:pPr>
              <w:spacing w:line="400" w:lineRule="exact"/>
              <w:rPr>
                <w:rFonts w:hint="default" w:ascii="Arial" w:hAnsi="Arial" w:eastAsia="宋体" w:cs="Arial"/>
                <w:color w:val="auto"/>
                <w:sz w:val="24"/>
                <w:highlight w:val="none"/>
                <w:lang w:val="en-US" w:eastAsia="zh-CN"/>
              </w:rPr>
            </w:pPr>
            <w:r>
              <w:rPr>
                <w:rFonts w:hint="eastAsia" w:ascii="Arial" w:hAnsi="Arial" w:cs="Arial"/>
                <w:color w:val="auto"/>
                <w:sz w:val="24"/>
                <w:highlight w:val="none"/>
              </w:rPr>
              <w:t>潺林</w:t>
            </w:r>
            <w:r>
              <w:rPr>
                <w:rFonts w:hint="eastAsia" w:ascii="Arial" w:hAnsi="Arial" w:cs="Arial"/>
                <w:color w:val="auto"/>
                <w:sz w:val="24"/>
                <w:highlight w:val="none"/>
                <w:lang w:eastAsia="zh-CN"/>
              </w:rPr>
              <w:t>、</w:t>
            </w:r>
            <w:r>
              <w:rPr>
                <w:rFonts w:hint="eastAsia" w:ascii="Arial" w:hAnsi="Arial" w:cs="Arial"/>
                <w:color w:val="auto"/>
                <w:sz w:val="24"/>
                <w:highlight w:val="none"/>
              </w:rPr>
              <w:t>恒力</w:t>
            </w:r>
            <w:r>
              <w:rPr>
                <w:rFonts w:hint="eastAsia" w:ascii="Arial" w:hAnsi="Arial" w:cs="Arial"/>
                <w:color w:val="auto"/>
                <w:sz w:val="24"/>
                <w:highlight w:val="none"/>
                <w:lang w:eastAsia="zh-CN"/>
              </w:rPr>
              <w:t>、</w:t>
            </w:r>
            <w:r>
              <w:rPr>
                <w:rFonts w:hint="eastAsia" w:ascii="Arial" w:hAnsi="Arial" w:cs="Arial"/>
                <w:color w:val="auto"/>
                <w:sz w:val="24"/>
                <w:highlight w:val="none"/>
              </w:rPr>
              <w:t>巨元</w:t>
            </w:r>
            <w:r>
              <w:rPr>
                <w:rFonts w:hint="eastAsia" w:ascii="Arial" w:hAnsi="Arial" w:cs="Arial"/>
                <w:color w:val="auto"/>
                <w:sz w:val="24"/>
                <w:highlight w:val="none"/>
                <w:lang w:eastAsia="zh-CN"/>
              </w:rPr>
              <w:t>、诺沃、</w:t>
            </w:r>
            <w:r>
              <w:rPr>
                <w:rFonts w:hint="eastAsia" w:ascii="Arial" w:hAnsi="Arial" w:cs="Arial"/>
                <w:color w:val="auto"/>
                <w:sz w:val="24"/>
                <w:highlight w:val="none"/>
                <w:lang w:val="en-US" w:eastAsia="zh-CN"/>
              </w:rPr>
              <w:t>apv</w:t>
            </w:r>
          </w:p>
        </w:tc>
      </w:tr>
      <w:tr w14:paraId="145E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6" w:type="dxa"/>
            <w:gridSpan w:val="2"/>
            <w:noWrap w:val="0"/>
            <w:vAlign w:val="center"/>
          </w:tcPr>
          <w:p w14:paraId="3EECCC33">
            <w:pPr>
              <w:ind w:left="991" w:hanging="989"/>
              <w:jc w:val="center"/>
              <w:rPr>
                <w:rFonts w:hint="eastAsia" w:ascii="Arial" w:hAnsi="Arial" w:cs="Arial"/>
                <w:color w:val="auto"/>
                <w:sz w:val="24"/>
                <w:highlight w:val="none"/>
              </w:rPr>
            </w:pPr>
            <w:r>
              <w:rPr>
                <w:rFonts w:hint="eastAsia" w:ascii="宋体" w:hAnsi="宋体"/>
                <w:color w:val="auto"/>
                <w:sz w:val="24"/>
                <w:highlight w:val="none"/>
              </w:rPr>
              <w:t>循环水泵</w:t>
            </w:r>
          </w:p>
        </w:tc>
        <w:tc>
          <w:tcPr>
            <w:tcW w:w="2786" w:type="dxa"/>
            <w:gridSpan w:val="2"/>
            <w:noWrap w:val="0"/>
            <w:vAlign w:val="center"/>
          </w:tcPr>
          <w:p w14:paraId="16670A8F">
            <w:pPr>
              <w:spacing w:line="400" w:lineRule="exact"/>
              <w:rPr>
                <w:rFonts w:hint="eastAsia" w:ascii="Arial" w:hAnsi="Arial" w:cs="Arial"/>
                <w:color w:val="auto"/>
                <w:sz w:val="24"/>
                <w:highlight w:val="none"/>
              </w:rPr>
            </w:pPr>
            <w:r>
              <w:rPr>
                <w:rFonts w:hint="eastAsia" w:ascii="宋体" w:hAnsi="宋体"/>
                <w:color w:val="auto"/>
                <w:sz w:val="24"/>
                <w:highlight w:val="none"/>
              </w:rPr>
              <w:t>流量：145m³/h，扬程25米，功率18千瓦</w:t>
            </w:r>
          </w:p>
        </w:tc>
        <w:tc>
          <w:tcPr>
            <w:tcW w:w="1407" w:type="dxa"/>
            <w:gridSpan w:val="4"/>
            <w:noWrap w:val="0"/>
            <w:vAlign w:val="center"/>
          </w:tcPr>
          <w:p w14:paraId="6C6082C3">
            <w:pPr>
              <w:ind w:left="991" w:hanging="989"/>
              <w:jc w:val="center"/>
              <w:rPr>
                <w:rFonts w:ascii="宋体" w:hAnsi="宋体"/>
                <w:color w:val="auto"/>
                <w:sz w:val="24"/>
                <w:highlight w:val="none"/>
              </w:rPr>
            </w:pPr>
          </w:p>
          <w:p w14:paraId="18506390">
            <w:pPr>
              <w:spacing w:line="400" w:lineRule="exact"/>
              <w:jc w:val="center"/>
              <w:rPr>
                <w:rFonts w:hint="eastAsia" w:ascii="宋体" w:hAnsi="宋体"/>
                <w:color w:val="auto"/>
                <w:sz w:val="24"/>
                <w:highlight w:val="none"/>
              </w:rPr>
            </w:pPr>
            <w:r>
              <w:rPr>
                <w:rFonts w:hint="eastAsia" w:ascii="Arial" w:hAnsi="Arial" w:cs="Arial"/>
                <w:color w:val="auto"/>
                <w:sz w:val="24"/>
                <w:highlight w:val="none"/>
              </w:rPr>
              <w:t>2台</w:t>
            </w:r>
          </w:p>
        </w:tc>
        <w:tc>
          <w:tcPr>
            <w:tcW w:w="3484" w:type="dxa"/>
            <w:noWrap w:val="0"/>
            <w:vAlign w:val="center"/>
          </w:tcPr>
          <w:p w14:paraId="4F99E0A3">
            <w:pPr>
              <w:spacing w:line="400" w:lineRule="exact"/>
              <w:rPr>
                <w:rFonts w:hint="eastAsia" w:ascii="宋体" w:hAnsi="宋体"/>
                <w:color w:val="auto"/>
                <w:sz w:val="24"/>
                <w:highlight w:val="none"/>
              </w:rPr>
            </w:pPr>
            <w:r>
              <w:rPr>
                <w:rFonts w:hint="eastAsia" w:ascii="宋体" w:hAnsi="宋体"/>
                <w:color w:val="auto"/>
                <w:sz w:val="24"/>
                <w:highlight w:val="none"/>
              </w:rPr>
              <w:t>南方，凯泉，东方，利欧</w:t>
            </w:r>
          </w:p>
        </w:tc>
      </w:tr>
      <w:tr w14:paraId="7458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6" w:type="dxa"/>
            <w:gridSpan w:val="2"/>
            <w:noWrap w:val="0"/>
            <w:vAlign w:val="center"/>
          </w:tcPr>
          <w:p w14:paraId="53551D32">
            <w:pPr>
              <w:spacing w:line="500" w:lineRule="exact"/>
              <w:ind w:firstLine="240" w:firstLineChars="100"/>
              <w:rPr>
                <w:rFonts w:ascii="宋体" w:hAnsi="宋体" w:cs="宋体"/>
                <w:color w:val="auto"/>
                <w:kern w:val="0"/>
                <w:sz w:val="24"/>
                <w:highlight w:val="none"/>
              </w:rPr>
            </w:pPr>
            <w:r>
              <w:rPr>
                <w:rFonts w:hint="eastAsia" w:ascii="宋体" w:hAnsi="宋体"/>
                <w:color w:val="auto"/>
                <w:sz w:val="24"/>
                <w:highlight w:val="none"/>
              </w:rPr>
              <w:t>控制柜</w:t>
            </w:r>
          </w:p>
          <w:p w14:paraId="5EE28311">
            <w:pPr>
              <w:ind w:left="991" w:hanging="989"/>
              <w:jc w:val="center"/>
              <w:rPr>
                <w:rFonts w:hint="eastAsia" w:ascii="宋体" w:hAnsi="宋体"/>
                <w:color w:val="auto"/>
                <w:sz w:val="24"/>
                <w:highlight w:val="none"/>
              </w:rPr>
            </w:pPr>
          </w:p>
        </w:tc>
        <w:tc>
          <w:tcPr>
            <w:tcW w:w="2786" w:type="dxa"/>
            <w:gridSpan w:val="2"/>
            <w:noWrap w:val="0"/>
            <w:vAlign w:val="center"/>
          </w:tcPr>
          <w:p w14:paraId="07577BFD">
            <w:pPr>
              <w:spacing w:line="400" w:lineRule="exact"/>
              <w:rPr>
                <w:rFonts w:hint="eastAsia" w:ascii="宋体" w:hAnsi="宋体"/>
                <w:color w:val="auto"/>
                <w:sz w:val="24"/>
                <w:highlight w:val="none"/>
              </w:rPr>
            </w:pPr>
          </w:p>
        </w:tc>
        <w:tc>
          <w:tcPr>
            <w:tcW w:w="1407" w:type="dxa"/>
            <w:gridSpan w:val="4"/>
            <w:noWrap w:val="0"/>
            <w:vAlign w:val="center"/>
          </w:tcPr>
          <w:p w14:paraId="6CFF1A2C">
            <w:pPr>
              <w:spacing w:line="400" w:lineRule="exact"/>
              <w:jc w:val="center"/>
              <w:rPr>
                <w:rFonts w:hint="eastAsia" w:ascii="宋体" w:hAnsi="宋体"/>
                <w:color w:val="auto"/>
                <w:sz w:val="24"/>
                <w:highlight w:val="none"/>
              </w:rPr>
            </w:pPr>
            <w:r>
              <w:rPr>
                <w:rFonts w:hint="eastAsia" w:ascii="宋体" w:hAnsi="宋体"/>
                <w:color w:val="auto"/>
                <w:sz w:val="24"/>
                <w:highlight w:val="none"/>
              </w:rPr>
              <w:t>1</w:t>
            </w:r>
          </w:p>
        </w:tc>
        <w:tc>
          <w:tcPr>
            <w:tcW w:w="3484" w:type="dxa"/>
            <w:noWrap w:val="0"/>
            <w:vAlign w:val="center"/>
          </w:tcPr>
          <w:p w14:paraId="433494C1">
            <w:pPr>
              <w:spacing w:line="500" w:lineRule="exact"/>
              <w:rPr>
                <w:rFonts w:hint="eastAsia" w:ascii="宋体" w:hAnsi="宋体" w:cs="宋体"/>
                <w:color w:val="auto"/>
                <w:kern w:val="0"/>
                <w:sz w:val="24"/>
                <w:highlight w:val="none"/>
              </w:rPr>
            </w:pPr>
            <w:r>
              <w:rPr>
                <w:rFonts w:hint="eastAsia" w:ascii="宋体" w:hAnsi="宋体"/>
                <w:color w:val="auto"/>
                <w:sz w:val="24"/>
                <w:highlight w:val="none"/>
              </w:rPr>
              <w:t xml:space="preserve">ABB变频器，电器元件，开关施耐德，海格 </w:t>
            </w:r>
            <w:r>
              <w:rPr>
                <w:rFonts w:hint="eastAsia" w:ascii="宋体" w:hAnsi="宋体"/>
                <w:color w:val="auto"/>
                <w:sz w:val="24"/>
                <w:highlight w:val="none"/>
                <w:lang w:eastAsia="zh-CN"/>
              </w:rPr>
              <w:t>，</w:t>
            </w:r>
            <w:r>
              <w:rPr>
                <w:rFonts w:hint="eastAsia" w:ascii="宋体" w:hAnsi="宋体" w:cs="宋体"/>
                <w:color w:val="auto"/>
                <w:kern w:val="0"/>
                <w:sz w:val="24"/>
                <w:highlight w:val="none"/>
              </w:rPr>
              <w:t>西门子</w:t>
            </w:r>
          </w:p>
        </w:tc>
      </w:tr>
      <w:tr w14:paraId="6594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3" w:type="dxa"/>
            <w:gridSpan w:val="9"/>
            <w:noWrap w:val="0"/>
            <w:vAlign w:val="center"/>
          </w:tcPr>
          <w:p w14:paraId="2946E3E1">
            <w:pPr>
              <w:spacing w:line="500" w:lineRule="exact"/>
              <w:ind w:firstLine="240" w:firstLineChars="100"/>
              <w:rPr>
                <w:rFonts w:hint="eastAsia" w:ascii="宋体" w:hAnsi="宋体"/>
                <w:color w:val="auto"/>
                <w:sz w:val="24"/>
                <w:highlight w:val="none"/>
              </w:rPr>
            </w:pPr>
            <w:r>
              <w:rPr>
                <w:rFonts w:hint="eastAsia" w:ascii="宋体" w:hAnsi="宋体"/>
                <w:color w:val="auto"/>
                <w:sz w:val="24"/>
                <w:highlight w:val="none"/>
              </w:rPr>
              <w:t>机组全部，阀门（品牌，沪工，标一，宇明），过滤器，仪表，传感器，连接管道法兰，槽钢基础</w:t>
            </w:r>
          </w:p>
        </w:tc>
      </w:tr>
      <w:tr w14:paraId="0577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3" w:type="dxa"/>
            <w:gridSpan w:val="9"/>
            <w:noWrap w:val="0"/>
            <w:vAlign w:val="center"/>
          </w:tcPr>
          <w:p w14:paraId="1074DB92">
            <w:pPr>
              <w:spacing w:line="500" w:lineRule="exact"/>
              <w:rPr>
                <w:rFonts w:hint="eastAsia" w:ascii="宋体" w:hAnsi="宋体"/>
                <w:b/>
                <w:bCs/>
                <w:color w:val="auto"/>
                <w:sz w:val="24"/>
                <w:highlight w:val="none"/>
              </w:rPr>
            </w:pPr>
            <w:r>
              <w:rPr>
                <w:rFonts w:hint="eastAsia" w:ascii="宋体" w:hAnsi="宋体"/>
                <w:b/>
                <w:bCs/>
                <w:color w:val="auto"/>
                <w:sz w:val="24"/>
                <w:highlight w:val="none"/>
              </w:rPr>
              <w:t>二、系统稳压补水装置</w:t>
            </w:r>
          </w:p>
        </w:tc>
      </w:tr>
      <w:tr w14:paraId="3B7B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6" w:type="dxa"/>
            <w:gridSpan w:val="2"/>
            <w:noWrap w:val="0"/>
            <w:vAlign w:val="center"/>
          </w:tcPr>
          <w:p w14:paraId="57D88457">
            <w:pPr>
              <w:ind w:left="991" w:hanging="989"/>
              <w:jc w:val="center"/>
              <w:rPr>
                <w:rFonts w:hint="eastAsia" w:ascii="宋体" w:hAnsi="宋体"/>
                <w:bCs/>
                <w:color w:val="auto"/>
                <w:sz w:val="24"/>
                <w:highlight w:val="none"/>
              </w:rPr>
            </w:pPr>
            <w:r>
              <w:rPr>
                <w:rFonts w:hint="eastAsia" w:ascii="宋体" w:hAnsi="宋体"/>
                <w:bCs/>
                <w:color w:val="auto"/>
                <w:sz w:val="24"/>
                <w:highlight w:val="none"/>
              </w:rPr>
              <w:t>补水泵</w:t>
            </w:r>
          </w:p>
        </w:tc>
        <w:tc>
          <w:tcPr>
            <w:tcW w:w="2786" w:type="dxa"/>
            <w:gridSpan w:val="2"/>
            <w:noWrap w:val="0"/>
            <w:vAlign w:val="center"/>
          </w:tcPr>
          <w:p w14:paraId="29382142">
            <w:pPr>
              <w:ind w:left="991" w:hanging="989"/>
              <w:rPr>
                <w:rFonts w:hint="eastAsia" w:ascii="宋体" w:hAnsi="宋体"/>
                <w:bCs/>
                <w:color w:val="auto"/>
                <w:sz w:val="24"/>
                <w:highlight w:val="none"/>
              </w:rPr>
            </w:pPr>
            <w:r>
              <w:rPr>
                <w:rFonts w:hint="eastAsia" w:ascii="宋体" w:hAnsi="宋体"/>
                <w:bCs/>
                <w:color w:val="auto"/>
                <w:sz w:val="24"/>
                <w:highlight w:val="none"/>
              </w:rPr>
              <w:t xml:space="preserve">流量：3m³/h，扬程28米，功率1.5千瓦 </w:t>
            </w:r>
          </w:p>
        </w:tc>
        <w:tc>
          <w:tcPr>
            <w:tcW w:w="1407" w:type="dxa"/>
            <w:gridSpan w:val="4"/>
            <w:noWrap w:val="0"/>
            <w:vAlign w:val="center"/>
          </w:tcPr>
          <w:p w14:paraId="107A9163">
            <w:pPr>
              <w:ind w:left="991" w:hanging="989"/>
              <w:jc w:val="center"/>
              <w:rPr>
                <w:rFonts w:hint="eastAsia" w:ascii="宋体" w:hAnsi="宋体"/>
                <w:bCs/>
                <w:color w:val="auto"/>
                <w:sz w:val="24"/>
                <w:highlight w:val="none"/>
              </w:rPr>
            </w:pPr>
            <w:r>
              <w:rPr>
                <w:rFonts w:hint="eastAsia" w:ascii="Arial" w:hAnsi="Arial" w:cs="Arial"/>
                <w:bCs/>
                <w:color w:val="auto"/>
                <w:sz w:val="24"/>
                <w:highlight w:val="none"/>
              </w:rPr>
              <w:t>2台</w:t>
            </w:r>
          </w:p>
        </w:tc>
        <w:tc>
          <w:tcPr>
            <w:tcW w:w="3484" w:type="dxa"/>
            <w:noWrap w:val="0"/>
            <w:vAlign w:val="center"/>
          </w:tcPr>
          <w:p w14:paraId="5279A9E4">
            <w:pPr>
              <w:ind w:left="991" w:hanging="989"/>
              <w:rPr>
                <w:rFonts w:hint="eastAsia" w:ascii="宋体" w:hAnsi="宋体"/>
                <w:bCs/>
                <w:color w:val="auto"/>
                <w:sz w:val="24"/>
                <w:highlight w:val="none"/>
              </w:rPr>
            </w:pPr>
            <w:r>
              <w:rPr>
                <w:rFonts w:hint="eastAsia" w:ascii="宋体" w:hAnsi="宋体"/>
                <w:bCs/>
                <w:color w:val="auto"/>
                <w:sz w:val="24"/>
                <w:highlight w:val="none"/>
              </w:rPr>
              <w:t>南方，凯泉，东方，利欧</w:t>
            </w:r>
          </w:p>
        </w:tc>
      </w:tr>
      <w:tr w14:paraId="1F7A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6" w:type="dxa"/>
            <w:gridSpan w:val="2"/>
            <w:noWrap w:val="0"/>
            <w:vAlign w:val="center"/>
          </w:tcPr>
          <w:p w14:paraId="5C2970ED">
            <w:pPr>
              <w:ind w:left="991" w:hanging="989"/>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隔膜式膨胀</w:t>
            </w:r>
          </w:p>
          <w:p w14:paraId="0B4C8717">
            <w:pPr>
              <w:ind w:left="991" w:hanging="989"/>
              <w:jc w:val="center"/>
              <w:rPr>
                <w:rFonts w:hint="eastAsia" w:ascii="Arial" w:hAnsi="Arial" w:cs="Arial"/>
                <w:bCs/>
                <w:color w:val="auto"/>
                <w:sz w:val="24"/>
                <w:highlight w:val="none"/>
              </w:rPr>
            </w:pPr>
            <w:r>
              <w:rPr>
                <w:rFonts w:hint="eastAsia" w:ascii="宋体" w:hAnsi="宋体" w:cs="宋体"/>
                <w:bCs/>
                <w:color w:val="auto"/>
                <w:kern w:val="0"/>
                <w:sz w:val="24"/>
                <w:highlight w:val="none"/>
              </w:rPr>
              <w:t>水罐</w:t>
            </w:r>
          </w:p>
        </w:tc>
        <w:tc>
          <w:tcPr>
            <w:tcW w:w="2811" w:type="dxa"/>
            <w:gridSpan w:val="3"/>
            <w:noWrap w:val="0"/>
            <w:vAlign w:val="center"/>
          </w:tcPr>
          <w:p w14:paraId="356C4B5A">
            <w:pPr>
              <w:spacing w:line="500" w:lineRule="exact"/>
              <w:rPr>
                <w:rFonts w:hint="eastAsia" w:ascii="宋体" w:hAnsi="宋体"/>
                <w:bCs/>
                <w:color w:val="auto"/>
                <w:sz w:val="24"/>
                <w:highlight w:val="none"/>
              </w:rPr>
            </w:pPr>
            <w:r>
              <w:rPr>
                <w:rFonts w:hint="eastAsia" w:ascii="Arial" w:hAnsi="Arial" w:cs="Arial"/>
                <w:bCs/>
                <w:color w:val="auto"/>
                <w:sz w:val="24"/>
                <w:highlight w:val="none"/>
              </w:rPr>
              <w:t>有效容积600L，</w:t>
            </w:r>
            <w:r>
              <w:rPr>
                <w:rFonts w:hint="eastAsia" w:ascii="宋体" w:hAnsi="宋体"/>
                <w:bCs/>
                <w:color w:val="auto"/>
                <w:sz w:val="24"/>
                <w:highlight w:val="none"/>
              </w:rPr>
              <w:t>系统压力稳定在0.3MPa</w:t>
            </w:r>
          </w:p>
        </w:tc>
        <w:tc>
          <w:tcPr>
            <w:tcW w:w="1382" w:type="dxa"/>
            <w:gridSpan w:val="3"/>
            <w:noWrap w:val="0"/>
            <w:vAlign w:val="center"/>
          </w:tcPr>
          <w:p w14:paraId="7247D9F0">
            <w:pPr>
              <w:spacing w:line="400" w:lineRule="exact"/>
              <w:jc w:val="center"/>
              <w:rPr>
                <w:rFonts w:hint="eastAsia" w:ascii="Arial" w:hAnsi="Arial" w:cs="Arial"/>
                <w:bCs/>
                <w:color w:val="auto"/>
                <w:sz w:val="24"/>
                <w:highlight w:val="none"/>
              </w:rPr>
            </w:pPr>
            <w:r>
              <w:rPr>
                <w:rFonts w:hint="eastAsia" w:ascii="Arial" w:hAnsi="Arial" w:cs="Arial"/>
                <w:bCs/>
                <w:color w:val="auto"/>
                <w:sz w:val="24"/>
                <w:highlight w:val="none"/>
              </w:rPr>
              <w:t>1台</w:t>
            </w:r>
          </w:p>
        </w:tc>
        <w:tc>
          <w:tcPr>
            <w:tcW w:w="3484" w:type="dxa"/>
            <w:noWrap w:val="0"/>
            <w:vAlign w:val="center"/>
          </w:tcPr>
          <w:p w14:paraId="176DAFDA">
            <w:pPr>
              <w:spacing w:line="400" w:lineRule="exact"/>
              <w:rPr>
                <w:rFonts w:hint="eastAsia" w:ascii="Arial" w:hAnsi="Arial" w:cs="Arial"/>
                <w:bCs/>
                <w:color w:val="auto"/>
                <w:sz w:val="24"/>
                <w:highlight w:val="none"/>
              </w:rPr>
            </w:pPr>
          </w:p>
        </w:tc>
      </w:tr>
      <w:tr w14:paraId="305B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6" w:type="dxa"/>
            <w:gridSpan w:val="2"/>
            <w:noWrap w:val="0"/>
            <w:vAlign w:val="center"/>
          </w:tcPr>
          <w:p w14:paraId="2078B127">
            <w:pPr>
              <w:spacing w:line="500" w:lineRule="exact"/>
              <w:ind w:left="480"/>
              <w:rPr>
                <w:rFonts w:ascii="宋体" w:hAnsi="宋体" w:cs="宋体"/>
                <w:bCs/>
                <w:color w:val="auto"/>
                <w:kern w:val="0"/>
                <w:sz w:val="24"/>
                <w:highlight w:val="none"/>
              </w:rPr>
            </w:pPr>
            <w:r>
              <w:rPr>
                <w:rFonts w:hint="eastAsia" w:ascii="宋体" w:hAnsi="宋体"/>
                <w:bCs/>
                <w:color w:val="auto"/>
                <w:sz w:val="24"/>
                <w:highlight w:val="none"/>
              </w:rPr>
              <w:t>控制柜</w:t>
            </w:r>
          </w:p>
          <w:p w14:paraId="0B4DBDF3">
            <w:pPr>
              <w:ind w:left="991" w:hanging="989"/>
              <w:jc w:val="center"/>
              <w:rPr>
                <w:rFonts w:hint="eastAsia" w:ascii="宋体" w:hAnsi="宋体"/>
                <w:bCs/>
                <w:color w:val="auto"/>
                <w:sz w:val="24"/>
                <w:highlight w:val="none"/>
              </w:rPr>
            </w:pPr>
          </w:p>
        </w:tc>
        <w:tc>
          <w:tcPr>
            <w:tcW w:w="2811" w:type="dxa"/>
            <w:gridSpan w:val="3"/>
            <w:noWrap w:val="0"/>
            <w:vAlign w:val="center"/>
          </w:tcPr>
          <w:p w14:paraId="605F1505">
            <w:pPr>
              <w:spacing w:line="400" w:lineRule="exact"/>
              <w:rPr>
                <w:rFonts w:hint="eastAsia" w:ascii="宋体" w:hAnsi="宋体"/>
                <w:bCs/>
                <w:color w:val="auto"/>
                <w:sz w:val="24"/>
                <w:highlight w:val="none"/>
              </w:rPr>
            </w:pPr>
          </w:p>
        </w:tc>
        <w:tc>
          <w:tcPr>
            <w:tcW w:w="1382" w:type="dxa"/>
            <w:gridSpan w:val="3"/>
            <w:noWrap w:val="0"/>
            <w:vAlign w:val="center"/>
          </w:tcPr>
          <w:p w14:paraId="02686268">
            <w:pPr>
              <w:spacing w:line="400" w:lineRule="exact"/>
              <w:jc w:val="center"/>
              <w:rPr>
                <w:rFonts w:hint="eastAsia" w:ascii="宋体" w:hAnsi="宋体"/>
                <w:bCs/>
                <w:color w:val="auto"/>
                <w:sz w:val="24"/>
                <w:highlight w:val="none"/>
              </w:rPr>
            </w:pPr>
            <w:r>
              <w:rPr>
                <w:rFonts w:hint="eastAsia" w:ascii="宋体" w:hAnsi="宋体"/>
                <w:bCs/>
                <w:color w:val="auto"/>
                <w:sz w:val="24"/>
                <w:highlight w:val="none"/>
              </w:rPr>
              <w:t>1台</w:t>
            </w:r>
          </w:p>
        </w:tc>
        <w:tc>
          <w:tcPr>
            <w:tcW w:w="3484" w:type="dxa"/>
            <w:noWrap w:val="0"/>
            <w:vAlign w:val="center"/>
          </w:tcPr>
          <w:p w14:paraId="676909A8">
            <w:pPr>
              <w:spacing w:line="500" w:lineRule="exact"/>
              <w:rPr>
                <w:rFonts w:hint="eastAsia" w:ascii="宋体" w:hAnsi="宋体" w:cs="宋体"/>
                <w:bCs/>
                <w:color w:val="auto"/>
                <w:kern w:val="0"/>
                <w:sz w:val="24"/>
                <w:highlight w:val="none"/>
              </w:rPr>
            </w:pPr>
            <w:r>
              <w:rPr>
                <w:rFonts w:hint="eastAsia" w:ascii="宋体" w:hAnsi="宋体"/>
                <w:bCs/>
                <w:color w:val="auto"/>
                <w:sz w:val="24"/>
                <w:highlight w:val="none"/>
              </w:rPr>
              <w:t xml:space="preserve">ABB变频器，电器元件，开关施耐德，海格 </w:t>
            </w:r>
            <w:r>
              <w:rPr>
                <w:rFonts w:hint="eastAsia" w:ascii="宋体" w:hAnsi="宋体"/>
                <w:bCs/>
                <w:color w:val="auto"/>
                <w:sz w:val="24"/>
                <w:highlight w:val="none"/>
                <w:lang w:eastAsia="zh-CN"/>
              </w:rPr>
              <w:t>，</w:t>
            </w:r>
            <w:r>
              <w:rPr>
                <w:rFonts w:hint="eastAsia" w:ascii="宋体" w:hAnsi="宋体" w:cs="宋体"/>
                <w:bCs/>
                <w:color w:val="auto"/>
                <w:kern w:val="0"/>
                <w:sz w:val="24"/>
                <w:highlight w:val="none"/>
              </w:rPr>
              <w:t>西门子</w:t>
            </w:r>
          </w:p>
        </w:tc>
      </w:tr>
      <w:tr w14:paraId="6C14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3" w:type="dxa"/>
            <w:gridSpan w:val="9"/>
            <w:noWrap w:val="0"/>
            <w:vAlign w:val="center"/>
          </w:tcPr>
          <w:p w14:paraId="5A73F554">
            <w:pPr>
              <w:spacing w:line="500" w:lineRule="exact"/>
              <w:ind w:firstLine="240" w:firstLineChars="100"/>
              <w:rPr>
                <w:rFonts w:hint="eastAsia" w:ascii="宋体" w:hAnsi="宋体"/>
                <w:bCs/>
                <w:color w:val="auto"/>
                <w:sz w:val="24"/>
                <w:highlight w:val="none"/>
              </w:rPr>
            </w:pPr>
            <w:r>
              <w:rPr>
                <w:rFonts w:hint="eastAsia" w:ascii="宋体" w:hAnsi="宋体"/>
                <w:bCs/>
                <w:color w:val="auto"/>
                <w:sz w:val="24"/>
                <w:highlight w:val="none"/>
              </w:rPr>
              <w:t>机组全部，阀门，过滤器，仪表，传感器，连接管道法兰，槽钢基础</w:t>
            </w:r>
          </w:p>
        </w:tc>
      </w:tr>
      <w:tr w14:paraId="07A7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3" w:type="dxa"/>
            <w:gridSpan w:val="9"/>
            <w:noWrap w:val="0"/>
            <w:vAlign w:val="center"/>
          </w:tcPr>
          <w:p w14:paraId="4E9ABF7D">
            <w:pPr>
              <w:spacing w:line="500" w:lineRule="exact"/>
              <w:jc w:val="left"/>
              <w:rPr>
                <w:rFonts w:hint="eastAsia" w:ascii="宋体" w:hAnsi="宋体"/>
                <w:color w:val="auto"/>
                <w:sz w:val="24"/>
                <w:highlight w:val="none"/>
              </w:rPr>
            </w:pPr>
            <w:r>
              <w:rPr>
                <w:rFonts w:hint="eastAsia" w:ascii="宋体" w:hAnsi="宋体"/>
                <w:b/>
                <w:bCs/>
                <w:color w:val="auto"/>
                <w:sz w:val="24"/>
                <w:highlight w:val="none"/>
              </w:rPr>
              <w:t>三、软水器系统品牌：</w:t>
            </w:r>
          </w:p>
        </w:tc>
      </w:tr>
      <w:tr w14:paraId="670B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6" w:type="dxa"/>
            <w:gridSpan w:val="2"/>
            <w:noWrap w:val="0"/>
            <w:vAlign w:val="center"/>
          </w:tcPr>
          <w:p w14:paraId="737B063F">
            <w:pPr>
              <w:ind w:left="991" w:hanging="989"/>
              <w:jc w:val="center"/>
              <w:rPr>
                <w:rFonts w:hint="eastAsia" w:ascii="Arial" w:hAnsi="Arial" w:cs="Arial"/>
                <w:color w:val="auto"/>
                <w:sz w:val="24"/>
                <w:highlight w:val="none"/>
              </w:rPr>
            </w:pPr>
            <w:r>
              <w:rPr>
                <w:rFonts w:hint="eastAsia" w:ascii="Arial" w:hAnsi="Arial" w:cs="Arial"/>
                <w:color w:val="auto"/>
                <w:sz w:val="24"/>
                <w:highlight w:val="none"/>
              </w:rPr>
              <w:t>软水系统</w:t>
            </w:r>
          </w:p>
        </w:tc>
        <w:tc>
          <w:tcPr>
            <w:tcW w:w="2811" w:type="dxa"/>
            <w:gridSpan w:val="3"/>
            <w:noWrap w:val="0"/>
            <w:vAlign w:val="center"/>
          </w:tcPr>
          <w:p w14:paraId="320D9F89">
            <w:pPr>
              <w:ind w:left="991" w:hanging="989"/>
              <w:jc w:val="center"/>
              <w:rPr>
                <w:rFonts w:hint="eastAsia" w:ascii="宋体" w:hAnsi="宋体"/>
                <w:color w:val="auto"/>
                <w:sz w:val="24"/>
                <w:highlight w:val="none"/>
              </w:rPr>
            </w:pPr>
            <w:r>
              <w:rPr>
                <w:rFonts w:hint="eastAsia" w:ascii="宋体" w:hAnsi="宋体"/>
                <w:color w:val="auto"/>
                <w:sz w:val="24"/>
                <w:highlight w:val="none"/>
              </w:rPr>
              <w:t>处理水量2-3m³，流量型</w:t>
            </w:r>
          </w:p>
        </w:tc>
        <w:tc>
          <w:tcPr>
            <w:tcW w:w="1382" w:type="dxa"/>
            <w:gridSpan w:val="3"/>
            <w:noWrap w:val="0"/>
            <w:vAlign w:val="center"/>
          </w:tcPr>
          <w:p w14:paraId="404C8C69">
            <w:pPr>
              <w:spacing w:line="400" w:lineRule="exact"/>
              <w:jc w:val="center"/>
              <w:rPr>
                <w:rFonts w:hint="eastAsia" w:ascii="Arial" w:hAnsi="Arial" w:cs="Arial"/>
                <w:color w:val="auto"/>
                <w:sz w:val="24"/>
                <w:highlight w:val="none"/>
              </w:rPr>
            </w:pPr>
            <w:r>
              <w:rPr>
                <w:rFonts w:hint="eastAsia" w:ascii="Arial" w:hAnsi="Arial" w:cs="Arial"/>
                <w:color w:val="auto"/>
                <w:sz w:val="24"/>
                <w:highlight w:val="none"/>
              </w:rPr>
              <w:t>1套</w:t>
            </w:r>
          </w:p>
        </w:tc>
        <w:tc>
          <w:tcPr>
            <w:tcW w:w="3484" w:type="dxa"/>
            <w:noWrap w:val="0"/>
            <w:vAlign w:val="center"/>
          </w:tcPr>
          <w:p w14:paraId="775E22E7">
            <w:pPr>
              <w:spacing w:line="400" w:lineRule="exact"/>
              <w:rPr>
                <w:rFonts w:hint="eastAsia" w:ascii="宋体" w:hAnsi="宋体"/>
                <w:color w:val="auto"/>
                <w:sz w:val="24"/>
                <w:highlight w:val="none"/>
              </w:rPr>
            </w:pPr>
            <w:r>
              <w:rPr>
                <w:rFonts w:hint="eastAsia" w:ascii="宋体" w:hAnsi="宋体"/>
                <w:color w:val="auto"/>
                <w:sz w:val="24"/>
                <w:highlight w:val="none"/>
              </w:rPr>
              <w:t>富莱克，阿图组</w:t>
            </w:r>
          </w:p>
        </w:tc>
      </w:tr>
      <w:tr w14:paraId="290B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6" w:type="dxa"/>
            <w:gridSpan w:val="2"/>
            <w:noWrap w:val="0"/>
            <w:vAlign w:val="center"/>
          </w:tcPr>
          <w:p w14:paraId="4330F239">
            <w:pPr>
              <w:ind w:left="991" w:hanging="989"/>
              <w:jc w:val="center"/>
              <w:rPr>
                <w:rFonts w:hint="eastAsia" w:ascii="Arial" w:hAnsi="Arial" w:cs="Arial"/>
                <w:color w:val="auto"/>
                <w:sz w:val="24"/>
                <w:highlight w:val="none"/>
              </w:rPr>
            </w:pPr>
            <w:r>
              <w:rPr>
                <w:rFonts w:hint="eastAsia" w:ascii="宋体" w:hAnsi="宋体"/>
                <w:color w:val="auto"/>
                <w:sz w:val="24"/>
                <w:highlight w:val="none"/>
              </w:rPr>
              <w:t>软水箱</w:t>
            </w:r>
          </w:p>
        </w:tc>
        <w:tc>
          <w:tcPr>
            <w:tcW w:w="2811" w:type="dxa"/>
            <w:gridSpan w:val="3"/>
            <w:noWrap w:val="0"/>
            <w:vAlign w:val="center"/>
          </w:tcPr>
          <w:p w14:paraId="734E08D9">
            <w:pPr>
              <w:ind w:left="991" w:hanging="989"/>
              <w:jc w:val="center"/>
              <w:rPr>
                <w:rFonts w:hint="eastAsia" w:ascii="宋体" w:hAnsi="宋体"/>
                <w:color w:val="auto"/>
                <w:sz w:val="24"/>
                <w:highlight w:val="none"/>
              </w:rPr>
            </w:pPr>
            <w:r>
              <w:rPr>
                <w:rFonts w:hint="eastAsia" w:ascii="宋体" w:hAnsi="宋体"/>
                <w:color w:val="auto"/>
                <w:sz w:val="24"/>
                <w:highlight w:val="none"/>
              </w:rPr>
              <w:t>3m³不锈钢</w:t>
            </w:r>
          </w:p>
        </w:tc>
        <w:tc>
          <w:tcPr>
            <w:tcW w:w="1382" w:type="dxa"/>
            <w:gridSpan w:val="3"/>
            <w:noWrap w:val="0"/>
            <w:vAlign w:val="center"/>
          </w:tcPr>
          <w:p w14:paraId="162F07D0">
            <w:pPr>
              <w:spacing w:line="400" w:lineRule="exact"/>
              <w:jc w:val="center"/>
              <w:rPr>
                <w:rFonts w:hint="eastAsia" w:ascii="Arial" w:hAnsi="Arial" w:cs="Arial"/>
                <w:color w:val="auto"/>
                <w:sz w:val="24"/>
                <w:highlight w:val="none"/>
              </w:rPr>
            </w:pPr>
            <w:r>
              <w:rPr>
                <w:rFonts w:hint="eastAsia" w:ascii="Arial" w:hAnsi="Arial" w:cs="Arial"/>
                <w:color w:val="auto"/>
                <w:sz w:val="24"/>
                <w:highlight w:val="none"/>
              </w:rPr>
              <w:t>1台</w:t>
            </w:r>
          </w:p>
        </w:tc>
        <w:tc>
          <w:tcPr>
            <w:tcW w:w="3484" w:type="dxa"/>
            <w:noWrap w:val="0"/>
            <w:vAlign w:val="center"/>
          </w:tcPr>
          <w:p w14:paraId="6BD403BF">
            <w:pPr>
              <w:spacing w:line="400" w:lineRule="exact"/>
              <w:rPr>
                <w:rFonts w:hint="eastAsia" w:ascii="宋体" w:hAnsi="宋体"/>
                <w:color w:val="auto"/>
                <w:sz w:val="24"/>
                <w:highlight w:val="none"/>
              </w:rPr>
            </w:pPr>
          </w:p>
        </w:tc>
      </w:tr>
      <w:tr w14:paraId="1B02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3" w:type="dxa"/>
            <w:gridSpan w:val="9"/>
            <w:noWrap w:val="0"/>
            <w:vAlign w:val="center"/>
          </w:tcPr>
          <w:p w14:paraId="3889D567">
            <w:pPr>
              <w:spacing w:line="400" w:lineRule="exact"/>
              <w:rPr>
                <w:rFonts w:hint="eastAsia" w:ascii="宋体" w:hAnsi="宋体"/>
                <w:color w:val="auto"/>
                <w:sz w:val="24"/>
                <w:highlight w:val="none"/>
              </w:rPr>
            </w:pPr>
            <w:r>
              <w:rPr>
                <w:rFonts w:hint="eastAsia" w:ascii="Arial" w:hAnsi="Arial" w:cs="Arial"/>
                <w:color w:val="auto"/>
                <w:sz w:val="24"/>
                <w:highlight w:val="none"/>
              </w:rPr>
              <w:t>四、成套阀门，仪表，管道，底座（</w:t>
            </w:r>
            <w:r>
              <w:rPr>
                <w:rFonts w:hint="eastAsia" w:ascii="宋体" w:hAnsi="宋体"/>
                <w:bCs/>
                <w:color w:val="auto"/>
                <w:sz w:val="24"/>
                <w:highlight w:val="none"/>
              </w:rPr>
              <w:t>阀门，</w:t>
            </w:r>
            <w:r>
              <w:rPr>
                <w:rFonts w:hint="eastAsia" w:ascii="Arial" w:hAnsi="Arial" w:cs="Arial"/>
                <w:color w:val="auto"/>
                <w:sz w:val="24"/>
                <w:highlight w:val="none"/>
              </w:rPr>
              <w:t>管道，底座成套碳钢材质）</w:t>
            </w:r>
          </w:p>
        </w:tc>
      </w:tr>
    </w:tbl>
    <w:p w14:paraId="2EF5E77E">
      <w:pPr>
        <w:spacing w:line="500" w:lineRule="exact"/>
        <w:rPr>
          <w:rFonts w:hint="eastAsia" w:ascii="宋体" w:hAnsi="宋体"/>
          <w:b/>
          <w:bCs/>
          <w:color w:val="auto"/>
          <w:sz w:val="24"/>
          <w:highlight w:val="none"/>
        </w:rPr>
      </w:pPr>
      <w:r>
        <w:rPr>
          <w:rFonts w:hint="eastAsia" w:ascii="宋体" w:hAnsi="宋体"/>
          <w:b/>
          <w:bCs/>
          <w:color w:val="auto"/>
          <w:sz w:val="24"/>
          <w:highlight w:val="none"/>
        </w:rPr>
        <w:t xml:space="preserve">备注： </w:t>
      </w:r>
    </w:p>
    <w:p w14:paraId="7AC5A2F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Theme="minorEastAsia"/>
          <w:b/>
          <w:bCs/>
          <w:color w:val="auto"/>
          <w:sz w:val="24"/>
          <w:highlight w:val="none"/>
          <w:lang w:eastAsia="zh-CN"/>
        </w:rPr>
      </w:pPr>
      <w:r>
        <w:rPr>
          <w:rFonts w:hint="eastAsia" w:ascii="宋体" w:hAnsi="宋体"/>
          <w:b/>
          <w:bCs/>
          <w:color w:val="auto"/>
          <w:sz w:val="24"/>
          <w:highlight w:val="none"/>
        </w:rPr>
        <w:t>1、工程包括所有的设施、设备，安装调试（含管道连接、</w:t>
      </w:r>
      <w:r>
        <w:rPr>
          <w:rFonts w:hint="eastAsia" w:ascii="Arial" w:hAnsi="Arial" w:cs="Arial"/>
          <w:b/>
          <w:bCs/>
          <w:color w:val="auto"/>
          <w:sz w:val="24"/>
          <w:highlight w:val="none"/>
        </w:rPr>
        <w:t>阀门、法兰管道连接、保温、试压、调试运行</w:t>
      </w:r>
      <w:r>
        <w:rPr>
          <w:rFonts w:hint="eastAsia" w:ascii="宋体" w:hAnsi="宋体"/>
          <w:b/>
          <w:bCs/>
          <w:color w:val="auto"/>
          <w:sz w:val="24"/>
          <w:highlight w:val="none"/>
        </w:rPr>
        <w:t>等）</w:t>
      </w:r>
      <w:r>
        <w:rPr>
          <w:rFonts w:hint="eastAsia" w:ascii="宋体" w:hAnsi="宋体"/>
          <w:b/>
          <w:bCs/>
          <w:color w:val="auto"/>
          <w:sz w:val="24"/>
          <w:highlight w:val="none"/>
          <w:lang w:eastAsia="zh-CN"/>
        </w:rPr>
        <w:t>；</w:t>
      </w:r>
      <w:r>
        <w:rPr>
          <w:rFonts w:hint="eastAsia" w:eastAsia="宋体"/>
          <w:b/>
          <w:bCs/>
          <w:color w:val="auto"/>
          <w:sz w:val="24"/>
          <w:szCs w:val="24"/>
          <w:highlight w:val="none"/>
        </w:rPr>
        <w:t>发生的费用均由供应商考虑并包含在</w:t>
      </w:r>
      <w:r>
        <w:rPr>
          <w:rFonts w:hint="eastAsia" w:eastAsia="宋体"/>
          <w:b/>
          <w:bCs/>
          <w:color w:val="auto"/>
          <w:sz w:val="24"/>
          <w:szCs w:val="24"/>
          <w:highlight w:val="none"/>
          <w:lang w:eastAsia="zh-CN"/>
        </w:rPr>
        <w:t>响应</w:t>
      </w:r>
      <w:r>
        <w:rPr>
          <w:rFonts w:hint="eastAsia" w:eastAsia="宋体"/>
          <w:b/>
          <w:bCs/>
          <w:color w:val="auto"/>
          <w:sz w:val="24"/>
          <w:szCs w:val="24"/>
          <w:highlight w:val="none"/>
        </w:rPr>
        <w:t>报价中</w:t>
      </w:r>
      <w:r>
        <w:rPr>
          <w:rFonts w:hint="eastAsia" w:ascii="宋体" w:hAnsi="宋体"/>
          <w:b/>
          <w:bCs/>
          <w:color w:val="auto"/>
          <w:sz w:val="24"/>
          <w:highlight w:val="none"/>
          <w:lang w:eastAsia="zh-CN"/>
        </w:rPr>
        <w:t>。</w:t>
      </w:r>
    </w:p>
    <w:p w14:paraId="5624CE6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imes New Roman" w:hAnsi="Times New Roman" w:eastAsia="宋体" w:cs="宋体"/>
          <w:b/>
          <w:color w:val="auto"/>
          <w:sz w:val="24"/>
          <w:szCs w:val="24"/>
          <w:highlight w:val="none"/>
          <w:lang w:eastAsia="zh-CN"/>
        </w:rPr>
      </w:pPr>
      <w:r>
        <w:rPr>
          <w:rFonts w:hint="eastAsia" w:ascii="宋体" w:hAnsi="宋体" w:eastAsia="宋体" w:cs="Times New Roman"/>
          <w:b/>
          <w:bCs/>
          <w:color w:val="auto"/>
          <w:sz w:val="24"/>
          <w:highlight w:val="none"/>
        </w:rPr>
        <w:t>2、注意：供回水为2进2出（4,6号楼），媒水1进1出（锅炉，冷水机组）</w:t>
      </w:r>
    </w:p>
    <w:p w14:paraId="3661D32E">
      <w:pPr>
        <w:tabs>
          <w:tab w:val="left" w:pos="10080"/>
          <w:tab w:val="left" w:pos="10440"/>
        </w:tabs>
        <w:spacing w:line="360" w:lineRule="auto"/>
        <w:ind w:firstLine="482"/>
        <w:rPr>
          <w:rFonts w:eastAsia="宋体"/>
          <w:b/>
          <w:bCs/>
          <w:color w:val="auto"/>
          <w:sz w:val="24"/>
          <w:szCs w:val="24"/>
          <w:highlight w:val="none"/>
        </w:rPr>
      </w:pPr>
      <w:r>
        <w:rPr>
          <w:rFonts w:hint="eastAsia" w:eastAsia="宋体"/>
          <w:b/>
          <w:bCs/>
          <w:color w:val="auto"/>
          <w:sz w:val="24"/>
          <w:szCs w:val="24"/>
          <w:highlight w:val="none"/>
          <w:lang w:eastAsia="zh-CN"/>
        </w:rPr>
        <w:t>三</w:t>
      </w:r>
      <w:r>
        <w:rPr>
          <w:rFonts w:hint="eastAsia" w:eastAsia="宋体"/>
          <w:b/>
          <w:bCs/>
          <w:color w:val="auto"/>
          <w:sz w:val="24"/>
          <w:szCs w:val="24"/>
          <w:highlight w:val="none"/>
        </w:rPr>
        <w:t>、一般要求</w:t>
      </w:r>
    </w:p>
    <w:p w14:paraId="6F21DCAA">
      <w:pPr>
        <w:spacing w:line="360" w:lineRule="auto"/>
        <w:ind w:firstLine="480"/>
        <w:rPr>
          <w:rFonts w:eastAsia="宋体"/>
          <w:color w:val="auto"/>
          <w:sz w:val="24"/>
          <w:szCs w:val="24"/>
          <w:highlight w:val="none"/>
        </w:rPr>
      </w:pPr>
      <w:r>
        <w:rPr>
          <w:rFonts w:hint="eastAsia" w:eastAsia="宋体" w:cs="宋体"/>
          <w:color w:val="auto"/>
          <w:sz w:val="24"/>
          <w:szCs w:val="24"/>
          <w:highlight w:val="none"/>
        </w:rPr>
        <w:t>1、供应商必须能提供</w:t>
      </w:r>
      <w:r>
        <w:rPr>
          <w:rFonts w:hint="eastAsia" w:eastAsia="宋体" w:cs="宋体"/>
          <w:color w:val="auto"/>
          <w:sz w:val="24"/>
          <w:szCs w:val="24"/>
          <w:highlight w:val="none"/>
          <w:lang w:eastAsia="zh-CN"/>
        </w:rPr>
        <w:t>采购</w:t>
      </w:r>
      <w:r>
        <w:rPr>
          <w:rFonts w:hint="eastAsia" w:eastAsia="宋体" w:cs="宋体"/>
          <w:color w:val="auto"/>
          <w:sz w:val="24"/>
          <w:szCs w:val="24"/>
          <w:highlight w:val="none"/>
        </w:rPr>
        <w:t>文件中的全部货物、软件、服务、配件、材料及工具。</w:t>
      </w:r>
    </w:p>
    <w:p w14:paraId="6DA09803">
      <w:pPr>
        <w:spacing w:line="360" w:lineRule="auto"/>
        <w:ind w:firstLine="480"/>
        <w:rPr>
          <w:rFonts w:eastAsia="宋体"/>
          <w:color w:val="auto"/>
          <w:sz w:val="24"/>
          <w:szCs w:val="24"/>
          <w:highlight w:val="none"/>
        </w:rPr>
      </w:pPr>
      <w:r>
        <w:rPr>
          <w:rFonts w:hint="eastAsia" w:eastAsia="宋体"/>
          <w:color w:val="auto"/>
          <w:sz w:val="24"/>
          <w:szCs w:val="24"/>
          <w:highlight w:val="none"/>
          <w:lang w:val="en-US" w:eastAsia="zh-CN"/>
        </w:rPr>
        <w:t>2</w:t>
      </w:r>
      <w:r>
        <w:rPr>
          <w:rFonts w:hint="eastAsia" w:eastAsia="宋体"/>
          <w:color w:val="auto"/>
          <w:sz w:val="24"/>
          <w:szCs w:val="24"/>
          <w:highlight w:val="none"/>
        </w:rPr>
        <w:t>、供应商供货应符合国家有关法律、法规规定、标准；</w:t>
      </w:r>
      <w:r>
        <w:rPr>
          <w:rFonts w:hint="eastAsia" w:ascii="Arial" w:hAnsi="Arial" w:cs="Arial"/>
          <w:color w:val="auto"/>
          <w:sz w:val="24"/>
          <w:highlight w:val="none"/>
        </w:rPr>
        <w:t>板式换热机组</w:t>
      </w:r>
      <w:r>
        <w:rPr>
          <w:rFonts w:hint="eastAsia" w:eastAsia="宋体"/>
          <w:color w:val="auto"/>
          <w:sz w:val="24"/>
          <w:szCs w:val="24"/>
          <w:highlight w:val="none"/>
        </w:rPr>
        <w:t>应有齐备的技术文件、图纸、说明书、合格证。</w:t>
      </w:r>
    </w:p>
    <w:p w14:paraId="30C3FAB3">
      <w:pPr>
        <w:spacing w:line="360" w:lineRule="auto"/>
        <w:ind w:firstLine="480"/>
        <w:rPr>
          <w:rFonts w:eastAsia="宋体"/>
          <w:color w:val="auto"/>
          <w:sz w:val="24"/>
          <w:szCs w:val="24"/>
          <w:highlight w:val="none"/>
        </w:rPr>
      </w:pPr>
      <w:r>
        <w:rPr>
          <w:rFonts w:hint="eastAsia" w:eastAsia="宋体"/>
          <w:color w:val="auto"/>
          <w:sz w:val="24"/>
          <w:szCs w:val="24"/>
          <w:highlight w:val="none"/>
          <w:lang w:val="en-US" w:eastAsia="zh-CN"/>
        </w:rPr>
        <w:t>3、</w:t>
      </w:r>
      <w:r>
        <w:rPr>
          <w:rFonts w:hint="eastAsia" w:eastAsia="宋体"/>
          <w:color w:val="auto"/>
          <w:sz w:val="24"/>
          <w:szCs w:val="24"/>
          <w:highlight w:val="none"/>
        </w:rPr>
        <w:t>供应商应提供合格的、具有高可靠性的优质产品，所有设备必须为全新设备。</w:t>
      </w:r>
    </w:p>
    <w:p w14:paraId="32D2BA0F">
      <w:pPr>
        <w:spacing w:line="360" w:lineRule="auto"/>
        <w:ind w:firstLine="480"/>
        <w:rPr>
          <w:rFonts w:eastAsia="宋体"/>
          <w:color w:val="auto"/>
          <w:sz w:val="24"/>
          <w:szCs w:val="24"/>
          <w:highlight w:val="none"/>
        </w:rPr>
      </w:pPr>
      <w:r>
        <w:rPr>
          <w:rFonts w:hint="eastAsia" w:eastAsia="宋体"/>
          <w:color w:val="auto"/>
          <w:sz w:val="24"/>
          <w:szCs w:val="24"/>
          <w:highlight w:val="none"/>
          <w:lang w:val="en-US" w:eastAsia="zh-CN"/>
        </w:rPr>
        <w:t>4</w:t>
      </w:r>
      <w:r>
        <w:rPr>
          <w:rFonts w:hint="eastAsia" w:eastAsia="宋体"/>
          <w:color w:val="auto"/>
          <w:sz w:val="24"/>
          <w:szCs w:val="24"/>
          <w:highlight w:val="none"/>
        </w:rPr>
        <w:t>、</w:t>
      </w:r>
      <w:r>
        <w:rPr>
          <w:rFonts w:hint="eastAsia" w:eastAsia="宋体"/>
          <w:color w:val="auto"/>
          <w:sz w:val="24"/>
          <w:szCs w:val="24"/>
          <w:highlight w:val="none"/>
          <w:lang w:eastAsia="zh-CN"/>
        </w:rPr>
        <w:t>响应</w:t>
      </w:r>
      <w:r>
        <w:rPr>
          <w:rFonts w:hint="eastAsia" w:eastAsia="宋体"/>
          <w:color w:val="auto"/>
          <w:sz w:val="24"/>
          <w:szCs w:val="24"/>
          <w:highlight w:val="none"/>
        </w:rPr>
        <w:t>产品必须满足长时间连续运行功能。</w:t>
      </w:r>
    </w:p>
    <w:p w14:paraId="71182FBD">
      <w:pPr>
        <w:spacing w:line="360" w:lineRule="auto"/>
        <w:ind w:firstLine="480"/>
        <w:rPr>
          <w:rFonts w:eastAsia="宋体"/>
          <w:color w:val="auto"/>
          <w:sz w:val="24"/>
          <w:szCs w:val="24"/>
          <w:highlight w:val="none"/>
        </w:rPr>
      </w:pPr>
      <w:r>
        <w:rPr>
          <w:rFonts w:hint="eastAsia" w:eastAsia="宋体"/>
          <w:color w:val="auto"/>
          <w:sz w:val="24"/>
          <w:szCs w:val="24"/>
          <w:highlight w:val="none"/>
          <w:lang w:val="en-US" w:eastAsia="zh-CN"/>
        </w:rPr>
        <w:t>5</w:t>
      </w:r>
      <w:r>
        <w:rPr>
          <w:rFonts w:hint="eastAsia" w:eastAsia="宋体"/>
          <w:color w:val="auto"/>
          <w:sz w:val="24"/>
          <w:szCs w:val="24"/>
          <w:highlight w:val="none"/>
        </w:rPr>
        <w:t>、供应商应在</w:t>
      </w:r>
      <w:r>
        <w:rPr>
          <w:rFonts w:hint="eastAsia" w:eastAsia="宋体"/>
          <w:color w:val="auto"/>
          <w:sz w:val="24"/>
          <w:szCs w:val="24"/>
          <w:highlight w:val="none"/>
          <w:lang w:eastAsia="zh-CN"/>
        </w:rPr>
        <w:t>响应</w:t>
      </w:r>
      <w:r>
        <w:rPr>
          <w:rFonts w:hint="eastAsia" w:eastAsia="宋体"/>
          <w:color w:val="auto"/>
          <w:sz w:val="24"/>
          <w:szCs w:val="24"/>
          <w:highlight w:val="none"/>
        </w:rPr>
        <w:t>文件中标明所投产品的规格、型号、品牌、配置说明。</w:t>
      </w:r>
    </w:p>
    <w:p w14:paraId="12760268">
      <w:pPr>
        <w:spacing w:line="360" w:lineRule="auto"/>
        <w:ind w:firstLine="480"/>
        <w:rPr>
          <w:rFonts w:eastAsia="宋体"/>
          <w:color w:val="auto"/>
          <w:sz w:val="24"/>
          <w:szCs w:val="24"/>
          <w:highlight w:val="none"/>
        </w:rPr>
      </w:pPr>
      <w:r>
        <w:rPr>
          <w:rFonts w:hint="eastAsia" w:eastAsia="宋体"/>
          <w:color w:val="auto"/>
          <w:sz w:val="24"/>
          <w:szCs w:val="24"/>
          <w:highlight w:val="none"/>
          <w:lang w:val="en-US" w:eastAsia="zh-CN"/>
        </w:rPr>
        <w:t>6</w:t>
      </w:r>
      <w:r>
        <w:rPr>
          <w:rFonts w:hint="eastAsia" w:eastAsia="宋体"/>
          <w:color w:val="auto"/>
          <w:sz w:val="24"/>
          <w:szCs w:val="24"/>
          <w:highlight w:val="none"/>
        </w:rPr>
        <w:t>、设备的材料、制造、测试等应采用适用于该项目的相应质量标准、试验规格和技术标准以及在本技术需求书中规定的任何其它标准。</w:t>
      </w:r>
    </w:p>
    <w:p w14:paraId="4EFC8334">
      <w:pPr>
        <w:tabs>
          <w:tab w:val="left" w:pos="10080"/>
          <w:tab w:val="left" w:pos="10440"/>
        </w:tabs>
        <w:spacing w:line="360" w:lineRule="auto"/>
        <w:ind w:firstLine="480"/>
        <w:rPr>
          <w:rFonts w:eastAsia="宋体"/>
          <w:bCs/>
          <w:color w:val="auto"/>
          <w:sz w:val="24"/>
          <w:szCs w:val="24"/>
          <w:highlight w:val="none"/>
        </w:rPr>
      </w:pPr>
      <w:r>
        <w:rPr>
          <w:rFonts w:hint="eastAsia" w:eastAsia="宋体"/>
          <w:bCs/>
          <w:color w:val="auto"/>
          <w:sz w:val="24"/>
          <w:szCs w:val="24"/>
          <w:highlight w:val="none"/>
          <w:lang w:val="en-US" w:eastAsia="zh-CN"/>
        </w:rPr>
        <w:t>7</w:t>
      </w:r>
      <w:r>
        <w:rPr>
          <w:rFonts w:hint="eastAsia" w:eastAsia="宋体"/>
          <w:bCs/>
          <w:color w:val="auto"/>
          <w:sz w:val="24"/>
          <w:szCs w:val="24"/>
          <w:highlight w:val="none"/>
        </w:rPr>
        <w:t>、供应商应在交付货物的同时向</w:t>
      </w:r>
      <w:r>
        <w:rPr>
          <w:rFonts w:hint="eastAsia" w:eastAsia="宋体"/>
          <w:bCs/>
          <w:color w:val="auto"/>
          <w:sz w:val="24"/>
          <w:szCs w:val="24"/>
          <w:highlight w:val="none"/>
          <w:lang w:eastAsia="zh-CN"/>
        </w:rPr>
        <w:t>采购</w:t>
      </w:r>
      <w:r>
        <w:rPr>
          <w:rFonts w:hint="eastAsia" w:eastAsia="宋体"/>
          <w:bCs/>
          <w:color w:val="auto"/>
          <w:sz w:val="24"/>
          <w:szCs w:val="24"/>
          <w:highlight w:val="none"/>
        </w:rPr>
        <w:t>人提供产品全套随机资料一套（包括但不限于含产品合格证书、使用维护说明书、验收报告书、原厂保修单等）。</w:t>
      </w:r>
    </w:p>
    <w:p w14:paraId="0CE7B52B">
      <w:pPr>
        <w:tabs>
          <w:tab w:val="left" w:pos="10080"/>
          <w:tab w:val="left" w:pos="10440"/>
        </w:tabs>
        <w:spacing w:line="360" w:lineRule="auto"/>
        <w:ind w:firstLine="482"/>
        <w:rPr>
          <w:rFonts w:eastAsia="宋体"/>
          <w:b/>
          <w:bCs/>
          <w:color w:val="auto"/>
          <w:sz w:val="24"/>
          <w:szCs w:val="24"/>
          <w:highlight w:val="none"/>
        </w:rPr>
      </w:pPr>
      <w:r>
        <w:rPr>
          <w:rFonts w:hint="eastAsia" w:eastAsia="宋体"/>
          <w:b/>
          <w:bCs/>
          <w:color w:val="auto"/>
          <w:sz w:val="24"/>
          <w:szCs w:val="24"/>
          <w:highlight w:val="none"/>
          <w:lang w:eastAsia="zh-CN"/>
        </w:rPr>
        <w:t>四</w:t>
      </w:r>
      <w:r>
        <w:rPr>
          <w:rFonts w:hint="eastAsia" w:eastAsia="宋体"/>
          <w:b/>
          <w:bCs/>
          <w:color w:val="auto"/>
          <w:sz w:val="24"/>
          <w:szCs w:val="24"/>
          <w:highlight w:val="none"/>
        </w:rPr>
        <w:t>、产品质量保证期及售后服务</w:t>
      </w:r>
    </w:p>
    <w:p w14:paraId="37FA2AA9">
      <w:pPr>
        <w:widowControl/>
        <w:spacing w:line="360" w:lineRule="auto"/>
        <w:ind w:firstLine="480"/>
        <w:jc w:val="left"/>
        <w:rPr>
          <w:rFonts w:eastAsia="宋体"/>
          <w:color w:val="auto"/>
          <w:sz w:val="24"/>
          <w:szCs w:val="24"/>
          <w:highlight w:val="none"/>
        </w:rPr>
      </w:pPr>
      <w:r>
        <w:rPr>
          <w:rFonts w:hint="eastAsia" w:eastAsia="宋体"/>
          <w:color w:val="auto"/>
          <w:sz w:val="24"/>
          <w:szCs w:val="24"/>
          <w:highlight w:val="none"/>
        </w:rPr>
        <w:t>1、提供所投品牌销售、专业安装、系统调试和专业维护授权及服务维修授权、售后服务承诺书。</w:t>
      </w:r>
    </w:p>
    <w:p w14:paraId="1998FA10">
      <w:pPr>
        <w:widowControl/>
        <w:spacing w:line="360" w:lineRule="auto"/>
        <w:ind w:firstLine="480"/>
        <w:jc w:val="left"/>
        <w:rPr>
          <w:rFonts w:eastAsia="宋体"/>
          <w:color w:val="auto"/>
          <w:sz w:val="24"/>
          <w:szCs w:val="24"/>
          <w:highlight w:val="none"/>
        </w:rPr>
      </w:pPr>
      <w:r>
        <w:rPr>
          <w:rFonts w:hint="eastAsia" w:eastAsia="宋体"/>
          <w:color w:val="auto"/>
          <w:sz w:val="24"/>
          <w:szCs w:val="24"/>
          <w:highlight w:val="none"/>
          <w:lang w:val="en-US" w:eastAsia="zh-CN"/>
        </w:rPr>
        <w:t>2</w:t>
      </w:r>
      <w:r>
        <w:rPr>
          <w:rFonts w:hint="eastAsia" w:eastAsia="宋体"/>
          <w:color w:val="auto"/>
          <w:sz w:val="24"/>
          <w:szCs w:val="24"/>
          <w:highlight w:val="none"/>
        </w:rPr>
        <w:t>、</w:t>
      </w:r>
      <w:r>
        <w:rPr>
          <w:rFonts w:hint="eastAsia" w:eastAsia="宋体"/>
          <w:color w:val="auto"/>
          <w:sz w:val="24"/>
          <w:szCs w:val="24"/>
          <w:highlight w:val="none"/>
          <w:lang w:eastAsia="zh-CN"/>
        </w:rPr>
        <w:t>成交</w:t>
      </w:r>
      <w:r>
        <w:rPr>
          <w:rFonts w:hint="eastAsia" w:eastAsia="宋体"/>
          <w:color w:val="auto"/>
          <w:sz w:val="24"/>
          <w:szCs w:val="24"/>
          <w:highlight w:val="none"/>
        </w:rPr>
        <w:t>供应商负责安装、调试、配合</w:t>
      </w:r>
      <w:r>
        <w:rPr>
          <w:rFonts w:hint="eastAsia" w:eastAsia="宋体"/>
          <w:color w:val="auto"/>
          <w:sz w:val="24"/>
          <w:szCs w:val="24"/>
          <w:highlight w:val="none"/>
          <w:lang w:eastAsia="zh-CN"/>
        </w:rPr>
        <w:t>采购</w:t>
      </w:r>
      <w:r>
        <w:rPr>
          <w:rFonts w:hint="eastAsia" w:eastAsia="宋体"/>
          <w:color w:val="auto"/>
          <w:sz w:val="24"/>
          <w:szCs w:val="24"/>
          <w:highlight w:val="none"/>
        </w:rPr>
        <w:t>人进行验收，并承担因此发生的一切费用。</w:t>
      </w:r>
    </w:p>
    <w:p w14:paraId="70EC22FC">
      <w:pPr>
        <w:widowControl/>
        <w:spacing w:line="360" w:lineRule="auto"/>
        <w:ind w:firstLine="480"/>
        <w:jc w:val="left"/>
        <w:rPr>
          <w:rFonts w:hint="eastAsia" w:eastAsia="宋体"/>
          <w:color w:val="auto"/>
          <w:sz w:val="24"/>
          <w:szCs w:val="24"/>
          <w:highlight w:val="none"/>
          <w:lang w:eastAsia="zh-CN"/>
        </w:rPr>
      </w:pPr>
      <w:r>
        <w:rPr>
          <w:rFonts w:hint="eastAsia" w:eastAsia="宋体"/>
          <w:color w:val="auto"/>
          <w:sz w:val="24"/>
          <w:szCs w:val="24"/>
          <w:highlight w:val="none"/>
          <w:lang w:val="en-US" w:eastAsia="zh-CN"/>
        </w:rPr>
        <w:t>3</w:t>
      </w:r>
      <w:r>
        <w:rPr>
          <w:rFonts w:hint="eastAsia" w:eastAsia="宋体"/>
          <w:color w:val="auto"/>
          <w:sz w:val="24"/>
          <w:szCs w:val="24"/>
          <w:highlight w:val="none"/>
        </w:rPr>
        <w:t>、</w:t>
      </w:r>
      <w:r>
        <w:rPr>
          <w:rFonts w:hint="eastAsia" w:eastAsia="宋体"/>
          <w:color w:val="auto"/>
          <w:sz w:val="24"/>
          <w:szCs w:val="24"/>
          <w:highlight w:val="none"/>
          <w:lang w:eastAsia="zh-CN"/>
        </w:rPr>
        <w:t>成交</w:t>
      </w:r>
      <w:r>
        <w:rPr>
          <w:rFonts w:hint="eastAsia" w:eastAsia="宋体"/>
          <w:bCs/>
          <w:color w:val="auto"/>
          <w:sz w:val="24"/>
          <w:szCs w:val="24"/>
          <w:highlight w:val="none"/>
        </w:rPr>
        <w:t>供应商</w:t>
      </w:r>
      <w:r>
        <w:rPr>
          <w:rFonts w:hint="eastAsia" w:eastAsia="宋体" w:cs="宋体"/>
          <w:color w:val="auto"/>
          <w:sz w:val="24"/>
          <w:szCs w:val="24"/>
          <w:highlight w:val="none"/>
          <w:lang w:val="zh-CN"/>
        </w:rPr>
        <w:t>须确保工作人员均受过严格培训，具有丰富施工经验的工程技术人员，严格按照标准和规范进行施工。</w:t>
      </w:r>
      <w:r>
        <w:rPr>
          <w:rFonts w:hint="eastAsia" w:ascii="宋体" w:hAnsi="宋体" w:eastAsia="宋体" w:cs="Times New Roman"/>
          <w:b/>
          <w:bCs/>
          <w:color w:val="auto"/>
          <w:sz w:val="24"/>
          <w:highlight w:val="none"/>
        </w:rPr>
        <w:t>现场施工安装单位要具备相应的安装施工资质，施工人员要有焊工证，要严格执行施工安全要求</w:t>
      </w:r>
      <w:r>
        <w:rPr>
          <w:rFonts w:hint="eastAsia" w:ascii="宋体" w:hAnsi="宋体" w:eastAsia="宋体" w:cs="Times New Roman"/>
          <w:b/>
          <w:bCs/>
          <w:color w:val="auto"/>
          <w:sz w:val="24"/>
          <w:highlight w:val="none"/>
          <w:lang w:eastAsia="zh-CN"/>
        </w:rPr>
        <w:t>，施工安全风险和责任由成交供应商自行承担。</w:t>
      </w:r>
    </w:p>
    <w:p w14:paraId="5BABCA67">
      <w:pPr>
        <w:widowControl/>
        <w:spacing w:line="360" w:lineRule="auto"/>
        <w:ind w:firstLine="480"/>
        <w:jc w:val="left"/>
        <w:rPr>
          <w:rFonts w:eastAsia="宋体"/>
          <w:color w:val="auto"/>
          <w:sz w:val="24"/>
          <w:szCs w:val="24"/>
          <w:highlight w:val="none"/>
        </w:rPr>
      </w:pPr>
      <w:r>
        <w:rPr>
          <w:rFonts w:hint="eastAsia" w:eastAsia="宋体"/>
          <w:color w:val="auto"/>
          <w:sz w:val="24"/>
          <w:szCs w:val="24"/>
          <w:highlight w:val="none"/>
          <w:lang w:val="en-US" w:eastAsia="zh-CN"/>
        </w:rPr>
        <w:t>4</w:t>
      </w:r>
      <w:r>
        <w:rPr>
          <w:rFonts w:hint="eastAsia" w:eastAsia="宋体"/>
          <w:color w:val="auto"/>
          <w:sz w:val="24"/>
          <w:szCs w:val="24"/>
          <w:highlight w:val="none"/>
        </w:rPr>
        <w:t>、</w:t>
      </w:r>
      <w:r>
        <w:rPr>
          <w:rFonts w:hint="eastAsia" w:eastAsia="宋体"/>
          <w:color w:val="auto"/>
          <w:sz w:val="24"/>
          <w:szCs w:val="24"/>
          <w:highlight w:val="none"/>
          <w:lang w:eastAsia="zh-CN"/>
        </w:rPr>
        <w:t>成交</w:t>
      </w:r>
      <w:r>
        <w:rPr>
          <w:rFonts w:hint="eastAsia" w:eastAsia="宋体"/>
          <w:color w:val="auto"/>
          <w:sz w:val="24"/>
          <w:szCs w:val="24"/>
          <w:highlight w:val="none"/>
        </w:rPr>
        <w:t>供应商在合同规定的期限内对所提供的</w:t>
      </w:r>
      <w:r>
        <w:rPr>
          <w:rFonts w:hint="eastAsia" w:eastAsia="宋体"/>
          <w:color w:val="auto"/>
          <w:sz w:val="24"/>
          <w:szCs w:val="24"/>
          <w:highlight w:val="none"/>
          <w:lang w:eastAsia="zh-CN"/>
        </w:rPr>
        <w:t>采购</w:t>
      </w:r>
      <w:r>
        <w:rPr>
          <w:rFonts w:hint="eastAsia" w:eastAsia="宋体"/>
          <w:color w:val="auto"/>
          <w:sz w:val="24"/>
          <w:szCs w:val="24"/>
          <w:highlight w:val="none"/>
        </w:rPr>
        <w:t>物实行现场维护，随时处理存在的故障，如现场不能维修解决的故障问题，须提供故障不能排除时的解决方案。</w:t>
      </w:r>
    </w:p>
    <w:p w14:paraId="22D325AD">
      <w:pPr>
        <w:widowControl/>
        <w:spacing w:line="360" w:lineRule="auto"/>
        <w:ind w:firstLine="480"/>
        <w:jc w:val="left"/>
        <w:rPr>
          <w:rFonts w:eastAsia="宋体"/>
          <w:color w:val="auto"/>
          <w:sz w:val="24"/>
          <w:szCs w:val="24"/>
          <w:highlight w:val="none"/>
        </w:rPr>
      </w:pPr>
      <w:r>
        <w:rPr>
          <w:rFonts w:hint="eastAsia" w:eastAsia="宋体"/>
          <w:color w:val="auto"/>
          <w:sz w:val="24"/>
          <w:szCs w:val="24"/>
          <w:highlight w:val="none"/>
          <w:lang w:val="en-US" w:eastAsia="zh-CN"/>
        </w:rPr>
        <w:t>5</w:t>
      </w:r>
      <w:r>
        <w:rPr>
          <w:rFonts w:hint="eastAsia" w:eastAsia="宋体"/>
          <w:color w:val="auto"/>
          <w:sz w:val="24"/>
          <w:szCs w:val="24"/>
          <w:highlight w:val="none"/>
        </w:rPr>
        <w:t>、质量保证期内的服务</w:t>
      </w:r>
    </w:p>
    <w:p w14:paraId="6AC65999">
      <w:pPr>
        <w:widowControl/>
        <w:spacing w:line="360" w:lineRule="auto"/>
        <w:ind w:firstLine="480"/>
        <w:jc w:val="left"/>
        <w:rPr>
          <w:rFonts w:hint="eastAsia" w:eastAsia="宋体"/>
          <w:color w:val="auto"/>
          <w:sz w:val="24"/>
          <w:szCs w:val="24"/>
          <w:highlight w:val="none"/>
        </w:rPr>
      </w:pPr>
      <w:r>
        <w:rPr>
          <w:rFonts w:hint="eastAsia" w:eastAsia="宋体"/>
          <w:color w:val="auto"/>
          <w:sz w:val="24"/>
          <w:szCs w:val="24"/>
          <w:highlight w:val="none"/>
          <w:lang w:val="en-US" w:eastAsia="zh-CN"/>
        </w:rPr>
        <w:t>5</w:t>
      </w:r>
      <w:r>
        <w:rPr>
          <w:rFonts w:hint="eastAsia" w:eastAsia="宋体"/>
          <w:color w:val="auto"/>
          <w:sz w:val="24"/>
          <w:szCs w:val="24"/>
          <w:highlight w:val="none"/>
        </w:rPr>
        <w:t>.1质保期：自设备调试验收合格并交付使用之日起计算至少两年免费质保期。</w:t>
      </w:r>
    </w:p>
    <w:p w14:paraId="6EB1FAFC">
      <w:pPr>
        <w:widowControl/>
        <w:spacing w:line="360" w:lineRule="auto"/>
        <w:ind w:firstLine="480"/>
        <w:jc w:val="left"/>
        <w:rPr>
          <w:rFonts w:eastAsia="宋体"/>
          <w:color w:val="auto"/>
          <w:sz w:val="24"/>
          <w:szCs w:val="24"/>
          <w:highlight w:val="none"/>
        </w:rPr>
      </w:pPr>
      <w:r>
        <w:rPr>
          <w:rFonts w:hint="eastAsia" w:eastAsia="宋体"/>
          <w:color w:val="auto"/>
          <w:sz w:val="24"/>
          <w:szCs w:val="24"/>
          <w:highlight w:val="none"/>
          <w:lang w:val="en-US" w:eastAsia="zh-CN"/>
        </w:rPr>
        <w:t>5.2</w:t>
      </w:r>
      <w:r>
        <w:rPr>
          <w:rFonts w:hint="eastAsia" w:eastAsia="宋体"/>
          <w:color w:val="auto"/>
          <w:sz w:val="24"/>
          <w:szCs w:val="24"/>
          <w:highlight w:val="none"/>
        </w:rPr>
        <w:t>对由于设备零、部件质量问题造成损坏的，</w:t>
      </w:r>
      <w:r>
        <w:rPr>
          <w:rFonts w:hint="eastAsia" w:eastAsia="宋体"/>
          <w:color w:val="auto"/>
          <w:sz w:val="24"/>
          <w:szCs w:val="24"/>
          <w:highlight w:val="none"/>
          <w:lang w:eastAsia="zh-CN"/>
        </w:rPr>
        <w:t>成交</w:t>
      </w:r>
      <w:r>
        <w:rPr>
          <w:rFonts w:hint="eastAsia" w:eastAsia="宋体"/>
          <w:color w:val="auto"/>
          <w:sz w:val="24"/>
          <w:szCs w:val="24"/>
          <w:highlight w:val="none"/>
        </w:rPr>
        <w:t>供应商免费维修或更换至符合质量要求，并承担因此给采购人造成的经济损失。由于采购人或用户人为因素造成的零、部件损坏，</w:t>
      </w:r>
      <w:r>
        <w:rPr>
          <w:rFonts w:hint="eastAsia" w:eastAsia="宋体"/>
          <w:color w:val="auto"/>
          <w:sz w:val="24"/>
          <w:szCs w:val="24"/>
          <w:highlight w:val="none"/>
          <w:lang w:eastAsia="zh-CN"/>
        </w:rPr>
        <w:t>成交</w:t>
      </w:r>
      <w:r>
        <w:rPr>
          <w:rFonts w:hint="eastAsia" w:eastAsia="宋体"/>
          <w:color w:val="auto"/>
          <w:sz w:val="24"/>
          <w:szCs w:val="24"/>
          <w:highlight w:val="none"/>
        </w:rPr>
        <w:t>供应商有义务对损坏零、部件进行维修更换，只收取采购方材料费。</w:t>
      </w:r>
    </w:p>
    <w:p w14:paraId="28FE4A70">
      <w:pPr>
        <w:widowControl/>
        <w:spacing w:line="360" w:lineRule="auto"/>
        <w:ind w:firstLine="480"/>
        <w:jc w:val="left"/>
        <w:rPr>
          <w:rFonts w:eastAsia="宋体"/>
          <w:color w:val="auto"/>
          <w:sz w:val="24"/>
          <w:szCs w:val="24"/>
          <w:highlight w:val="none"/>
        </w:rPr>
      </w:pPr>
      <w:r>
        <w:rPr>
          <w:rFonts w:hint="eastAsia" w:eastAsia="宋体"/>
          <w:color w:val="auto"/>
          <w:sz w:val="24"/>
          <w:szCs w:val="24"/>
          <w:highlight w:val="none"/>
          <w:lang w:val="en-US" w:eastAsia="zh-CN"/>
        </w:rPr>
        <w:t>5</w:t>
      </w:r>
      <w:r>
        <w:rPr>
          <w:rFonts w:hint="eastAsia" w:eastAsia="宋体"/>
          <w:color w:val="auto"/>
          <w:sz w:val="24"/>
          <w:szCs w:val="24"/>
          <w:highlight w:val="none"/>
        </w:rPr>
        <w:t>.</w:t>
      </w:r>
      <w:r>
        <w:rPr>
          <w:rFonts w:hint="eastAsia" w:eastAsia="宋体"/>
          <w:color w:val="auto"/>
          <w:sz w:val="24"/>
          <w:szCs w:val="24"/>
          <w:highlight w:val="none"/>
          <w:lang w:val="en-US" w:eastAsia="zh-CN"/>
        </w:rPr>
        <w:t>3</w:t>
      </w:r>
      <w:r>
        <w:rPr>
          <w:rFonts w:hint="eastAsia" w:eastAsia="宋体"/>
          <w:color w:val="auto"/>
          <w:sz w:val="21"/>
          <w:szCs w:val="22"/>
          <w:highlight w:val="none"/>
        </w:rPr>
        <w:t xml:space="preserve"> </w:t>
      </w:r>
      <w:r>
        <w:rPr>
          <w:rFonts w:hint="eastAsia" w:eastAsia="宋体"/>
          <w:color w:val="auto"/>
          <w:sz w:val="24"/>
          <w:szCs w:val="24"/>
          <w:highlight w:val="none"/>
        </w:rPr>
        <w:t>质保期内货物或软件一旦出现故障，</w:t>
      </w:r>
      <w:r>
        <w:rPr>
          <w:rFonts w:hint="eastAsia" w:eastAsia="宋体"/>
          <w:color w:val="auto"/>
          <w:sz w:val="24"/>
          <w:szCs w:val="24"/>
          <w:highlight w:val="none"/>
          <w:lang w:eastAsia="zh-CN"/>
        </w:rPr>
        <w:t>成交</w:t>
      </w:r>
      <w:r>
        <w:rPr>
          <w:rFonts w:hint="eastAsia" w:eastAsia="宋体"/>
          <w:color w:val="auto"/>
          <w:sz w:val="24"/>
          <w:szCs w:val="24"/>
          <w:highlight w:val="none"/>
        </w:rPr>
        <w:t>供应商响应时间不超过2小时，检修人员应在24小时内到</w:t>
      </w:r>
      <w:r>
        <w:rPr>
          <w:rFonts w:hint="eastAsia" w:eastAsia="宋体"/>
          <w:color w:val="auto"/>
          <w:sz w:val="24"/>
          <w:szCs w:val="24"/>
          <w:highlight w:val="none"/>
          <w:lang w:eastAsia="zh-CN"/>
        </w:rPr>
        <w:t>采购</w:t>
      </w:r>
      <w:r>
        <w:rPr>
          <w:rFonts w:hint="eastAsia" w:eastAsia="宋体"/>
          <w:color w:val="auto"/>
          <w:sz w:val="24"/>
          <w:szCs w:val="24"/>
          <w:highlight w:val="none"/>
        </w:rPr>
        <w:t>人指定地点及时排除故障，48小时内解决故障问题，恢复设备正常使用。如遇故障无法排除，</w:t>
      </w:r>
      <w:r>
        <w:rPr>
          <w:rFonts w:hint="eastAsia" w:eastAsia="宋体"/>
          <w:color w:val="auto"/>
          <w:sz w:val="24"/>
          <w:szCs w:val="24"/>
          <w:highlight w:val="none"/>
          <w:lang w:eastAsia="zh-CN"/>
        </w:rPr>
        <w:t>成交</w:t>
      </w:r>
      <w:r>
        <w:rPr>
          <w:rFonts w:hint="eastAsia" w:eastAsia="宋体"/>
          <w:color w:val="auto"/>
          <w:sz w:val="24"/>
          <w:szCs w:val="24"/>
          <w:highlight w:val="none"/>
        </w:rPr>
        <w:t>供应商应负责向</w:t>
      </w:r>
      <w:r>
        <w:rPr>
          <w:rFonts w:hint="eastAsia" w:eastAsia="宋体"/>
          <w:color w:val="auto"/>
          <w:sz w:val="24"/>
          <w:szCs w:val="24"/>
          <w:highlight w:val="none"/>
          <w:lang w:eastAsia="zh-CN"/>
        </w:rPr>
        <w:t>采购</w:t>
      </w:r>
      <w:r>
        <w:rPr>
          <w:rFonts w:hint="eastAsia" w:eastAsia="宋体"/>
          <w:color w:val="auto"/>
          <w:sz w:val="24"/>
          <w:szCs w:val="24"/>
          <w:highlight w:val="none"/>
        </w:rPr>
        <w:t>人提供应急备用设备，其费用由</w:t>
      </w:r>
      <w:r>
        <w:rPr>
          <w:rFonts w:hint="eastAsia" w:eastAsia="宋体"/>
          <w:color w:val="auto"/>
          <w:sz w:val="24"/>
          <w:szCs w:val="24"/>
          <w:highlight w:val="none"/>
          <w:lang w:eastAsia="zh-CN"/>
        </w:rPr>
        <w:t>成交</w:t>
      </w:r>
      <w:r>
        <w:rPr>
          <w:rFonts w:hint="eastAsia" w:eastAsia="宋体"/>
          <w:color w:val="auto"/>
          <w:sz w:val="24"/>
          <w:szCs w:val="24"/>
          <w:highlight w:val="none"/>
        </w:rPr>
        <w:t>供应商自行承担。</w:t>
      </w:r>
    </w:p>
    <w:p w14:paraId="081C8177">
      <w:pPr>
        <w:widowControl/>
        <w:spacing w:line="360" w:lineRule="auto"/>
        <w:ind w:firstLine="480"/>
        <w:jc w:val="left"/>
        <w:rPr>
          <w:rFonts w:eastAsia="宋体"/>
          <w:b/>
          <w:bCs/>
          <w:color w:val="auto"/>
          <w:sz w:val="24"/>
          <w:szCs w:val="24"/>
          <w:highlight w:val="none"/>
        </w:rPr>
      </w:pPr>
      <w:r>
        <w:rPr>
          <w:rFonts w:hint="eastAsia" w:eastAsia="宋体"/>
          <w:color w:val="auto"/>
          <w:sz w:val="24"/>
          <w:szCs w:val="24"/>
          <w:highlight w:val="none"/>
          <w:lang w:val="en-US" w:eastAsia="zh-CN"/>
        </w:rPr>
        <w:t>6</w:t>
      </w:r>
      <w:r>
        <w:rPr>
          <w:rFonts w:hint="eastAsia" w:eastAsia="宋体"/>
          <w:color w:val="auto"/>
          <w:sz w:val="24"/>
          <w:szCs w:val="24"/>
          <w:highlight w:val="none"/>
        </w:rPr>
        <w:t>、</w:t>
      </w:r>
      <w:r>
        <w:rPr>
          <w:rFonts w:hint="eastAsia" w:eastAsia="宋体"/>
          <w:b/>
          <w:bCs/>
          <w:color w:val="auto"/>
          <w:sz w:val="24"/>
          <w:szCs w:val="24"/>
          <w:highlight w:val="none"/>
        </w:rPr>
        <w:t>质保期满后，</w:t>
      </w:r>
      <w:r>
        <w:rPr>
          <w:rFonts w:hint="eastAsia" w:eastAsia="宋体"/>
          <w:b/>
          <w:bCs/>
          <w:color w:val="auto"/>
          <w:sz w:val="24"/>
          <w:szCs w:val="24"/>
          <w:highlight w:val="none"/>
          <w:lang w:eastAsia="zh-CN"/>
        </w:rPr>
        <w:t>成交</w:t>
      </w:r>
      <w:r>
        <w:rPr>
          <w:rFonts w:hint="eastAsia" w:eastAsia="宋体"/>
          <w:b/>
          <w:bCs/>
          <w:color w:val="auto"/>
          <w:sz w:val="24"/>
          <w:szCs w:val="24"/>
          <w:highlight w:val="none"/>
        </w:rPr>
        <w:t>供应商须承诺提供至少</w:t>
      </w:r>
      <w:r>
        <w:rPr>
          <w:rFonts w:hint="eastAsia" w:eastAsia="宋体"/>
          <w:b/>
          <w:bCs/>
          <w:color w:val="auto"/>
          <w:sz w:val="24"/>
          <w:szCs w:val="24"/>
          <w:highlight w:val="none"/>
          <w:lang w:eastAsia="zh-CN"/>
        </w:rPr>
        <w:t>一年</w:t>
      </w:r>
      <w:r>
        <w:rPr>
          <w:rFonts w:hint="eastAsia" w:eastAsia="宋体"/>
          <w:b/>
          <w:bCs/>
          <w:color w:val="auto"/>
          <w:sz w:val="24"/>
          <w:szCs w:val="24"/>
          <w:highlight w:val="none"/>
        </w:rPr>
        <w:t>免费维保及终身维修服务，保证零配件供应及维修时效，维修费用按照材料成本收取。同时提供</w:t>
      </w:r>
      <w:r>
        <w:rPr>
          <w:rFonts w:hint="eastAsia" w:eastAsia="宋体"/>
          <w:b/>
          <w:bCs/>
          <w:color w:val="auto"/>
          <w:sz w:val="24"/>
          <w:szCs w:val="22"/>
          <w:highlight w:val="none"/>
        </w:rPr>
        <w:t>终身</w:t>
      </w:r>
      <w:r>
        <w:rPr>
          <w:rFonts w:hint="eastAsia" w:eastAsia="宋体"/>
          <w:b/>
          <w:bCs/>
          <w:color w:val="auto"/>
          <w:sz w:val="24"/>
          <w:szCs w:val="24"/>
          <w:highlight w:val="none"/>
        </w:rPr>
        <w:t>免费软件升级服务。</w:t>
      </w:r>
    </w:p>
    <w:p w14:paraId="62B7A8FC">
      <w:pPr>
        <w:widowControl/>
        <w:spacing w:line="360" w:lineRule="auto"/>
        <w:ind w:firstLine="480"/>
        <w:jc w:val="left"/>
        <w:rPr>
          <w:rFonts w:eastAsia="宋体"/>
          <w:color w:val="auto"/>
          <w:sz w:val="24"/>
          <w:szCs w:val="24"/>
          <w:highlight w:val="none"/>
        </w:rPr>
      </w:pPr>
      <w:r>
        <w:rPr>
          <w:rFonts w:hint="eastAsia" w:eastAsia="宋体"/>
          <w:color w:val="auto"/>
          <w:sz w:val="24"/>
          <w:szCs w:val="24"/>
          <w:highlight w:val="none"/>
          <w:lang w:val="en-US" w:eastAsia="zh-CN"/>
        </w:rPr>
        <w:t>7</w:t>
      </w:r>
      <w:r>
        <w:rPr>
          <w:rFonts w:hint="eastAsia" w:eastAsia="宋体"/>
          <w:color w:val="auto"/>
          <w:sz w:val="24"/>
          <w:szCs w:val="24"/>
          <w:highlight w:val="none"/>
        </w:rPr>
        <w:t>、技术支持和服务：</w:t>
      </w:r>
      <w:r>
        <w:rPr>
          <w:rFonts w:hint="eastAsia" w:eastAsia="宋体"/>
          <w:color w:val="auto"/>
          <w:sz w:val="24"/>
          <w:szCs w:val="24"/>
          <w:highlight w:val="none"/>
          <w:lang w:eastAsia="zh-CN"/>
        </w:rPr>
        <w:t>成交</w:t>
      </w:r>
      <w:r>
        <w:rPr>
          <w:rFonts w:hint="eastAsia" w:eastAsia="宋体"/>
          <w:color w:val="auto"/>
          <w:sz w:val="24"/>
          <w:szCs w:val="24"/>
          <w:highlight w:val="none"/>
        </w:rPr>
        <w:t>供应商免费在现场对业主有关操作人员进行设备结构、工作原理、操作方法及维护保养等相关技术培训。</w:t>
      </w:r>
    </w:p>
    <w:p w14:paraId="21B43B43">
      <w:pPr>
        <w:widowControl/>
        <w:spacing w:line="360" w:lineRule="auto"/>
        <w:ind w:firstLine="480"/>
        <w:jc w:val="left"/>
        <w:rPr>
          <w:rFonts w:eastAsia="宋体"/>
          <w:color w:val="auto"/>
          <w:sz w:val="24"/>
          <w:szCs w:val="24"/>
          <w:highlight w:val="none"/>
        </w:rPr>
      </w:pPr>
      <w:r>
        <w:rPr>
          <w:rFonts w:hint="eastAsia" w:eastAsia="宋体"/>
          <w:color w:val="auto"/>
          <w:sz w:val="24"/>
          <w:szCs w:val="24"/>
          <w:highlight w:val="none"/>
          <w:lang w:val="en-US" w:eastAsia="zh-CN"/>
        </w:rPr>
        <w:t>8</w:t>
      </w:r>
      <w:r>
        <w:rPr>
          <w:rFonts w:hint="eastAsia" w:eastAsia="宋体"/>
          <w:color w:val="auto"/>
          <w:sz w:val="24"/>
          <w:szCs w:val="24"/>
          <w:highlight w:val="none"/>
        </w:rPr>
        <w:t>、根据</w:t>
      </w:r>
      <w:r>
        <w:rPr>
          <w:rFonts w:hint="eastAsia" w:eastAsia="宋体"/>
          <w:color w:val="auto"/>
          <w:sz w:val="24"/>
          <w:szCs w:val="24"/>
          <w:highlight w:val="none"/>
          <w:lang w:eastAsia="zh-CN"/>
        </w:rPr>
        <w:t>采购</w:t>
      </w:r>
      <w:r>
        <w:rPr>
          <w:rFonts w:hint="eastAsia" w:eastAsia="宋体"/>
          <w:color w:val="auto"/>
          <w:sz w:val="24"/>
          <w:szCs w:val="24"/>
          <w:highlight w:val="none"/>
        </w:rPr>
        <w:t>文件规定需要补充的其他内容。</w:t>
      </w:r>
    </w:p>
    <w:p w14:paraId="5AC40885">
      <w:pPr>
        <w:widowControl/>
        <w:spacing w:line="360" w:lineRule="auto"/>
        <w:ind w:firstLine="480"/>
        <w:jc w:val="left"/>
        <w:rPr>
          <w:rFonts w:eastAsia="宋体" w:cs="宋体"/>
          <w:bCs/>
          <w:color w:val="auto"/>
          <w:sz w:val="24"/>
          <w:szCs w:val="24"/>
          <w:highlight w:val="none"/>
        </w:rPr>
      </w:pPr>
      <w:r>
        <w:rPr>
          <w:rFonts w:hint="eastAsia" w:eastAsia="宋体"/>
          <w:color w:val="auto"/>
          <w:sz w:val="24"/>
          <w:szCs w:val="24"/>
          <w:highlight w:val="none"/>
          <w:lang w:val="en-US" w:eastAsia="zh-CN"/>
        </w:rPr>
        <w:t>9</w:t>
      </w:r>
      <w:r>
        <w:rPr>
          <w:rFonts w:hint="eastAsia" w:eastAsia="宋体"/>
          <w:color w:val="auto"/>
          <w:sz w:val="24"/>
          <w:szCs w:val="24"/>
          <w:highlight w:val="none"/>
        </w:rPr>
        <w:t>、维护与保养：</w:t>
      </w:r>
      <w:r>
        <w:rPr>
          <w:rFonts w:hint="eastAsia" w:eastAsia="宋体"/>
          <w:color w:val="auto"/>
          <w:sz w:val="24"/>
          <w:szCs w:val="24"/>
          <w:highlight w:val="none"/>
          <w:lang w:eastAsia="zh-CN"/>
        </w:rPr>
        <w:t>成交</w:t>
      </w:r>
      <w:r>
        <w:rPr>
          <w:rFonts w:hint="eastAsia" w:eastAsia="宋体"/>
          <w:color w:val="auto"/>
          <w:sz w:val="24"/>
          <w:szCs w:val="24"/>
          <w:highlight w:val="none"/>
        </w:rPr>
        <w:t>供应商须具备满足本项目需要的专业服务资质及售后服务维护保养能力。</w:t>
      </w:r>
    </w:p>
    <w:p w14:paraId="3D527669">
      <w:pPr>
        <w:tabs>
          <w:tab w:val="left" w:pos="10080"/>
          <w:tab w:val="left" w:pos="10440"/>
        </w:tabs>
        <w:spacing w:line="360" w:lineRule="auto"/>
        <w:ind w:firstLine="480"/>
        <w:rPr>
          <w:rFonts w:eastAsia="宋体"/>
          <w:bCs/>
          <w:color w:val="auto"/>
          <w:sz w:val="24"/>
          <w:szCs w:val="24"/>
          <w:highlight w:val="none"/>
        </w:rPr>
      </w:pPr>
      <w:bookmarkStart w:id="10" w:name="_Toc15186"/>
      <w:r>
        <w:rPr>
          <w:rFonts w:hint="eastAsia" w:eastAsia="宋体"/>
          <w:bCs/>
          <w:color w:val="auto"/>
          <w:sz w:val="24"/>
          <w:szCs w:val="24"/>
          <w:highlight w:val="none"/>
          <w:lang w:val="en-US" w:eastAsia="zh-CN"/>
        </w:rPr>
        <w:t>10</w:t>
      </w:r>
      <w:r>
        <w:rPr>
          <w:rFonts w:hint="eastAsia" w:eastAsia="宋体"/>
          <w:bCs/>
          <w:color w:val="auto"/>
          <w:sz w:val="24"/>
          <w:szCs w:val="24"/>
          <w:highlight w:val="none"/>
        </w:rPr>
        <w:t>、</w:t>
      </w:r>
      <w:r>
        <w:rPr>
          <w:rFonts w:hint="eastAsia" w:eastAsia="宋体"/>
          <w:color w:val="auto"/>
          <w:sz w:val="24"/>
          <w:szCs w:val="22"/>
          <w:highlight w:val="none"/>
        </w:rPr>
        <w:t>备件要求：</w:t>
      </w:r>
      <w:r>
        <w:rPr>
          <w:rFonts w:hint="eastAsia" w:eastAsia="宋体"/>
          <w:color w:val="auto"/>
          <w:sz w:val="24"/>
          <w:szCs w:val="24"/>
          <w:highlight w:val="none"/>
          <w:lang w:eastAsia="zh-CN"/>
        </w:rPr>
        <w:t>成交</w:t>
      </w:r>
      <w:r>
        <w:rPr>
          <w:rFonts w:hint="eastAsia" w:eastAsia="宋体"/>
          <w:color w:val="auto"/>
          <w:sz w:val="24"/>
          <w:szCs w:val="24"/>
          <w:highlight w:val="none"/>
        </w:rPr>
        <w:t>供应商</w:t>
      </w:r>
      <w:r>
        <w:rPr>
          <w:rFonts w:hint="eastAsia" w:eastAsia="宋体"/>
          <w:color w:val="auto"/>
          <w:sz w:val="24"/>
          <w:szCs w:val="22"/>
          <w:highlight w:val="none"/>
        </w:rPr>
        <w:t>应设置备件库，存入所有必须的备件，保证必要时可以及时供应技术及维修服务。</w:t>
      </w:r>
    </w:p>
    <w:bookmarkEnd w:id="10"/>
    <w:p w14:paraId="40FCC8D2">
      <w:pPr>
        <w:tabs>
          <w:tab w:val="left" w:pos="10080"/>
          <w:tab w:val="left" w:pos="10440"/>
        </w:tabs>
        <w:spacing w:line="360" w:lineRule="auto"/>
        <w:ind w:firstLine="482"/>
        <w:rPr>
          <w:rFonts w:eastAsia="宋体"/>
          <w:b/>
          <w:bCs/>
          <w:color w:val="auto"/>
          <w:sz w:val="24"/>
          <w:szCs w:val="24"/>
          <w:highlight w:val="none"/>
        </w:rPr>
      </w:pPr>
      <w:r>
        <w:rPr>
          <w:rFonts w:hint="eastAsia" w:eastAsia="宋体"/>
          <w:b/>
          <w:bCs/>
          <w:color w:val="auto"/>
          <w:sz w:val="24"/>
          <w:szCs w:val="24"/>
          <w:highlight w:val="none"/>
          <w:lang w:eastAsia="zh-CN"/>
        </w:rPr>
        <w:t>五</w:t>
      </w:r>
      <w:r>
        <w:rPr>
          <w:rFonts w:hint="eastAsia" w:eastAsia="宋体"/>
          <w:b/>
          <w:bCs/>
          <w:color w:val="auto"/>
          <w:sz w:val="24"/>
          <w:szCs w:val="24"/>
          <w:highlight w:val="none"/>
        </w:rPr>
        <w:t>、采购项目交付时间、地点及安装调试服务</w:t>
      </w:r>
    </w:p>
    <w:p w14:paraId="401BF8EF">
      <w:pPr>
        <w:spacing w:line="360" w:lineRule="auto"/>
        <w:ind w:firstLine="480"/>
        <w:rPr>
          <w:rFonts w:eastAsia="宋体"/>
          <w:color w:val="auto"/>
          <w:sz w:val="24"/>
          <w:szCs w:val="24"/>
          <w:highlight w:val="none"/>
        </w:rPr>
      </w:pPr>
      <w:r>
        <w:rPr>
          <w:rFonts w:hint="eastAsia" w:eastAsia="宋体"/>
          <w:color w:val="auto"/>
          <w:sz w:val="24"/>
          <w:szCs w:val="24"/>
          <w:highlight w:val="none"/>
        </w:rPr>
        <w:t>1、采购项目交付：</w:t>
      </w:r>
    </w:p>
    <w:p w14:paraId="4CCD8608">
      <w:pPr>
        <w:spacing w:line="360" w:lineRule="auto"/>
        <w:ind w:firstLine="480"/>
        <w:rPr>
          <w:rFonts w:eastAsia="宋体"/>
          <w:color w:val="auto"/>
          <w:sz w:val="24"/>
          <w:szCs w:val="24"/>
          <w:highlight w:val="none"/>
        </w:rPr>
      </w:pPr>
      <w:r>
        <w:rPr>
          <w:rFonts w:hint="eastAsia" w:eastAsia="宋体"/>
          <w:color w:val="auto"/>
          <w:sz w:val="24"/>
          <w:szCs w:val="24"/>
          <w:highlight w:val="none"/>
        </w:rPr>
        <w:t>（1）交货地点：根据</w:t>
      </w:r>
      <w:r>
        <w:rPr>
          <w:rFonts w:hint="eastAsia" w:eastAsia="宋体"/>
          <w:color w:val="auto"/>
          <w:sz w:val="24"/>
          <w:szCs w:val="24"/>
          <w:highlight w:val="none"/>
          <w:lang w:eastAsia="zh-CN"/>
        </w:rPr>
        <w:t>采购</w:t>
      </w:r>
      <w:r>
        <w:rPr>
          <w:rFonts w:hint="eastAsia" w:eastAsia="宋体"/>
          <w:color w:val="auto"/>
          <w:sz w:val="24"/>
          <w:szCs w:val="24"/>
          <w:highlight w:val="none"/>
        </w:rPr>
        <w:t>人要求，产品送至</w:t>
      </w:r>
      <w:r>
        <w:rPr>
          <w:rFonts w:hint="eastAsia" w:eastAsia="宋体"/>
          <w:color w:val="auto"/>
          <w:sz w:val="24"/>
          <w:szCs w:val="24"/>
          <w:highlight w:val="none"/>
          <w:lang w:eastAsia="zh-CN"/>
        </w:rPr>
        <w:t>采购</w:t>
      </w:r>
      <w:r>
        <w:rPr>
          <w:rFonts w:hint="eastAsia" w:eastAsia="宋体"/>
          <w:color w:val="auto"/>
          <w:sz w:val="24"/>
          <w:szCs w:val="24"/>
          <w:highlight w:val="none"/>
        </w:rPr>
        <w:t>人指定的地点进行安装、调试。</w:t>
      </w:r>
    </w:p>
    <w:p w14:paraId="20CB118C">
      <w:pPr>
        <w:spacing w:line="360" w:lineRule="auto"/>
        <w:ind w:firstLine="480"/>
        <w:rPr>
          <w:rFonts w:eastAsia="宋体"/>
          <w:color w:val="auto"/>
          <w:sz w:val="24"/>
          <w:szCs w:val="24"/>
          <w:highlight w:val="none"/>
        </w:rPr>
      </w:pPr>
      <w:r>
        <w:rPr>
          <w:rFonts w:hint="eastAsia" w:eastAsia="宋体"/>
          <w:color w:val="auto"/>
          <w:sz w:val="24"/>
          <w:szCs w:val="24"/>
          <w:highlight w:val="none"/>
        </w:rPr>
        <w:t>（2）货物装卸、运输涉及到的保险，其费用包含在合同总价中。</w:t>
      </w:r>
    </w:p>
    <w:p w14:paraId="2871D1A1">
      <w:pPr>
        <w:spacing w:line="360" w:lineRule="auto"/>
        <w:ind w:firstLine="480"/>
        <w:rPr>
          <w:rFonts w:eastAsia="宋体"/>
          <w:color w:val="auto"/>
          <w:sz w:val="24"/>
          <w:szCs w:val="24"/>
          <w:highlight w:val="none"/>
        </w:rPr>
      </w:pPr>
      <w:r>
        <w:rPr>
          <w:rFonts w:hint="eastAsia" w:eastAsia="宋体"/>
          <w:color w:val="auto"/>
          <w:sz w:val="24"/>
          <w:szCs w:val="24"/>
          <w:highlight w:val="none"/>
        </w:rPr>
        <w:t>2、项目交付期：</w:t>
      </w:r>
      <w:r>
        <w:rPr>
          <w:rFonts w:hint="eastAsia" w:ascii="Times New Roman" w:hAnsi="Times New Roman" w:eastAsia="宋体" w:cs="宋体"/>
          <w:b w:val="0"/>
          <w:bCs w:val="0"/>
          <w:color w:val="auto"/>
          <w:sz w:val="24"/>
          <w:szCs w:val="24"/>
          <w:highlight w:val="none"/>
        </w:rPr>
        <w:t>合同签订后</w:t>
      </w:r>
      <w:r>
        <w:rPr>
          <w:rFonts w:hint="eastAsia" w:ascii="Times New Roman" w:hAnsi="Times New Roman" w:eastAsia="宋体" w:cs="宋体"/>
          <w:b w:val="0"/>
          <w:bCs w:val="0"/>
          <w:color w:val="auto"/>
          <w:sz w:val="24"/>
          <w:szCs w:val="24"/>
          <w:highlight w:val="none"/>
          <w:lang w:val="en-US" w:eastAsia="zh-CN"/>
        </w:rPr>
        <w:t>30</w:t>
      </w:r>
      <w:r>
        <w:rPr>
          <w:rFonts w:hint="eastAsia" w:ascii="Times New Roman" w:hAnsi="Times New Roman" w:eastAsia="宋体" w:cs="宋体"/>
          <w:b w:val="0"/>
          <w:bCs w:val="0"/>
          <w:color w:val="auto"/>
          <w:sz w:val="24"/>
          <w:szCs w:val="24"/>
          <w:highlight w:val="none"/>
        </w:rPr>
        <w:t>天内完成供货、安装调试并经验收合格</w:t>
      </w:r>
      <w:r>
        <w:rPr>
          <w:rFonts w:hint="eastAsia" w:eastAsia="宋体"/>
          <w:color w:val="auto"/>
          <w:sz w:val="24"/>
          <w:szCs w:val="24"/>
          <w:highlight w:val="none"/>
        </w:rPr>
        <w:t>。</w:t>
      </w:r>
    </w:p>
    <w:p w14:paraId="51504557">
      <w:pPr>
        <w:spacing w:line="360" w:lineRule="auto"/>
        <w:ind w:firstLine="480"/>
        <w:rPr>
          <w:rFonts w:eastAsia="宋体"/>
          <w:color w:val="auto"/>
          <w:sz w:val="24"/>
          <w:szCs w:val="24"/>
          <w:highlight w:val="none"/>
        </w:rPr>
      </w:pPr>
      <w:r>
        <w:rPr>
          <w:rFonts w:hint="eastAsia" w:eastAsia="宋体"/>
          <w:color w:val="auto"/>
          <w:sz w:val="24"/>
          <w:szCs w:val="24"/>
          <w:highlight w:val="none"/>
        </w:rPr>
        <w:t>3、发货到</w:t>
      </w:r>
      <w:r>
        <w:rPr>
          <w:rFonts w:hint="eastAsia" w:eastAsia="宋体"/>
          <w:color w:val="auto"/>
          <w:sz w:val="24"/>
          <w:szCs w:val="24"/>
          <w:highlight w:val="none"/>
          <w:lang w:eastAsia="zh-CN"/>
        </w:rPr>
        <w:t>采购</w:t>
      </w:r>
      <w:r>
        <w:rPr>
          <w:rFonts w:hint="eastAsia" w:eastAsia="宋体"/>
          <w:color w:val="auto"/>
          <w:sz w:val="24"/>
          <w:szCs w:val="24"/>
          <w:highlight w:val="none"/>
        </w:rPr>
        <w:t>人指定地点时应先用函、电通告</w:t>
      </w:r>
      <w:r>
        <w:rPr>
          <w:rFonts w:hint="eastAsia" w:eastAsia="宋体"/>
          <w:color w:val="auto"/>
          <w:sz w:val="24"/>
          <w:szCs w:val="24"/>
          <w:highlight w:val="none"/>
          <w:lang w:eastAsia="zh-CN"/>
        </w:rPr>
        <w:t>采购</w:t>
      </w:r>
      <w:r>
        <w:rPr>
          <w:rFonts w:hint="eastAsia" w:eastAsia="宋体"/>
          <w:color w:val="auto"/>
          <w:sz w:val="24"/>
          <w:szCs w:val="24"/>
          <w:highlight w:val="none"/>
        </w:rPr>
        <w:t>人。</w:t>
      </w:r>
    </w:p>
    <w:p w14:paraId="60F2EEBB">
      <w:pPr>
        <w:spacing w:line="360" w:lineRule="auto"/>
        <w:ind w:firstLine="480"/>
        <w:rPr>
          <w:rFonts w:eastAsia="宋体"/>
          <w:color w:val="auto"/>
          <w:sz w:val="24"/>
          <w:szCs w:val="24"/>
          <w:highlight w:val="none"/>
        </w:rPr>
      </w:pPr>
      <w:r>
        <w:rPr>
          <w:rFonts w:hint="eastAsia" w:eastAsia="宋体"/>
          <w:color w:val="auto"/>
          <w:sz w:val="24"/>
          <w:szCs w:val="24"/>
          <w:highlight w:val="none"/>
        </w:rPr>
        <w:t>4、产品的外观、包装、运输应按国家规定或部颁标准执行，如因</w:t>
      </w:r>
      <w:r>
        <w:rPr>
          <w:rFonts w:hint="eastAsia" w:eastAsia="宋体"/>
          <w:color w:val="auto"/>
          <w:sz w:val="24"/>
          <w:szCs w:val="24"/>
          <w:highlight w:val="none"/>
          <w:lang w:eastAsia="zh-CN"/>
        </w:rPr>
        <w:t>成交</w:t>
      </w:r>
      <w:r>
        <w:rPr>
          <w:rFonts w:hint="eastAsia" w:eastAsia="宋体"/>
          <w:color w:val="auto"/>
          <w:sz w:val="24"/>
          <w:szCs w:val="24"/>
          <w:highlight w:val="none"/>
        </w:rPr>
        <w:t>供应商包装不当以及其它原因造成损坏或丢失，应由</w:t>
      </w:r>
      <w:r>
        <w:rPr>
          <w:rFonts w:hint="eastAsia" w:eastAsia="宋体"/>
          <w:color w:val="auto"/>
          <w:sz w:val="24"/>
          <w:szCs w:val="24"/>
          <w:highlight w:val="none"/>
          <w:lang w:eastAsia="zh-CN"/>
        </w:rPr>
        <w:t>成交</w:t>
      </w:r>
      <w:r>
        <w:rPr>
          <w:rFonts w:hint="eastAsia" w:eastAsia="宋体"/>
          <w:color w:val="auto"/>
          <w:sz w:val="24"/>
          <w:szCs w:val="24"/>
          <w:highlight w:val="none"/>
        </w:rPr>
        <w:t>供应商负一切责任。</w:t>
      </w:r>
    </w:p>
    <w:p w14:paraId="31373079">
      <w:pPr>
        <w:spacing w:line="360" w:lineRule="auto"/>
        <w:ind w:firstLine="480"/>
        <w:rPr>
          <w:rFonts w:eastAsia="宋体"/>
          <w:color w:val="auto"/>
          <w:sz w:val="24"/>
          <w:szCs w:val="24"/>
          <w:highlight w:val="none"/>
        </w:rPr>
      </w:pPr>
      <w:r>
        <w:rPr>
          <w:rFonts w:hint="eastAsia" w:eastAsia="宋体"/>
          <w:color w:val="auto"/>
          <w:sz w:val="24"/>
          <w:szCs w:val="24"/>
          <w:highlight w:val="none"/>
        </w:rPr>
        <w:t>5、合同项目涉及到的产品设备交货时，外包装应完整无破损。</w:t>
      </w:r>
    </w:p>
    <w:p w14:paraId="692A36E4">
      <w:pPr>
        <w:spacing w:line="360" w:lineRule="auto"/>
        <w:ind w:firstLine="480"/>
        <w:rPr>
          <w:rFonts w:eastAsia="宋体"/>
          <w:color w:val="auto"/>
          <w:sz w:val="24"/>
          <w:szCs w:val="24"/>
          <w:highlight w:val="none"/>
        </w:rPr>
      </w:pPr>
      <w:r>
        <w:rPr>
          <w:rFonts w:hint="eastAsia" w:eastAsia="宋体"/>
          <w:color w:val="auto"/>
          <w:sz w:val="24"/>
          <w:szCs w:val="24"/>
          <w:highlight w:val="none"/>
        </w:rPr>
        <w:t>6、安装计划：由</w:t>
      </w:r>
      <w:r>
        <w:rPr>
          <w:rFonts w:hint="eastAsia" w:eastAsia="宋体"/>
          <w:color w:val="auto"/>
          <w:sz w:val="24"/>
          <w:szCs w:val="24"/>
          <w:highlight w:val="none"/>
          <w:lang w:eastAsia="zh-CN"/>
        </w:rPr>
        <w:t>成交</w:t>
      </w:r>
      <w:r>
        <w:rPr>
          <w:rFonts w:hint="eastAsia" w:eastAsia="宋体"/>
          <w:color w:val="auto"/>
          <w:sz w:val="24"/>
          <w:szCs w:val="24"/>
          <w:highlight w:val="none"/>
        </w:rPr>
        <w:t>供应商制定详细安装计划，该计划必须由业主认可，业主在实施过程中随总进度计划的变化作相应调整，供应商不能为此而提出任何附加费用。</w:t>
      </w:r>
    </w:p>
    <w:p w14:paraId="70DD8300">
      <w:pPr>
        <w:spacing w:line="360" w:lineRule="auto"/>
        <w:ind w:firstLine="480"/>
        <w:rPr>
          <w:rFonts w:eastAsia="宋体"/>
          <w:color w:val="auto"/>
          <w:sz w:val="24"/>
          <w:szCs w:val="24"/>
          <w:highlight w:val="none"/>
        </w:rPr>
      </w:pPr>
      <w:r>
        <w:rPr>
          <w:rFonts w:hint="eastAsia" w:eastAsia="宋体"/>
          <w:color w:val="auto"/>
          <w:sz w:val="24"/>
          <w:szCs w:val="24"/>
          <w:highlight w:val="none"/>
        </w:rPr>
        <w:t>7、产品保护</w:t>
      </w:r>
    </w:p>
    <w:p w14:paraId="6999CEC7">
      <w:pPr>
        <w:spacing w:line="360" w:lineRule="auto"/>
        <w:ind w:firstLine="480"/>
        <w:rPr>
          <w:rFonts w:eastAsia="宋体"/>
          <w:color w:val="auto"/>
          <w:sz w:val="24"/>
          <w:szCs w:val="24"/>
          <w:highlight w:val="none"/>
        </w:rPr>
      </w:pPr>
      <w:r>
        <w:rPr>
          <w:rFonts w:hint="eastAsia" w:eastAsia="宋体"/>
          <w:color w:val="auto"/>
          <w:sz w:val="24"/>
          <w:szCs w:val="24"/>
          <w:highlight w:val="none"/>
        </w:rPr>
        <w:t>安装完成后，</w:t>
      </w:r>
      <w:r>
        <w:rPr>
          <w:rFonts w:hint="eastAsia" w:eastAsia="宋体"/>
          <w:color w:val="auto"/>
          <w:sz w:val="24"/>
          <w:szCs w:val="24"/>
          <w:highlight w:val="none"/>
          <w:lang w:eastAsia="zh-CN"/>
        </w:rPr>
        <w:t>成交</w:t>
      </w:r>
      <w:r>
        <w:rPr>
          <w:rFonts w:hint="eastAsia" w:eastAsia="宋体"/>
          <w:color w:val="auto"/>
          <w:sz w:val="24"/>
          <w:szCs w:val="24"/>
          <w:highlight w:val="none"/>
        </w:rPr>
        <w:t>供应商应配合进行产品的保护和清洁工作直至项目全部验收合格为止。</w:t>
      </w:r>
      <w:r>
        <w:rPr>
          <w:rFonts w:hint="eastAsia" w:eastAsia="宋体"/>
          <w:color w:val="auto"/>
          <w:sz w:val="24"/>
          <w:szCs w:val="24"/>
          <w:highlight w:val="none"/>
          <w:lang w:eastAsia="zh-CN"/>
        </w:rPr>
        <w:t>成交</w:t>
      </w:r>
      <w:r>
        <w:rPr>
          <w:rFonts w:hint="eastAsia" w:eastAsia="宋体"/>
          <w:color w:val="auto"/>
          <w:sz w:val="24"/>
          <w:szCs w:val="24"/>
          <w:highlight w:val="none"/>
        </w:rPr>
        <w:t>供应商如果在货物安装、调试过程中，对</w:t>
      </w:r>
      <w:r>
        <w:rPr>
          <w:rFonts w:hint="eastAsia" w:eastAsia="宋体"/>
          <w:color w:val="auto"/>
          <w:sz w:val="24"/>
          <w:szCs w:val="24"/>
          <w:highlight w:val="none"/>
          <w:lang w:eastAsia="zh-CN"/>
        </w:rPr>
        <w:t>采购</w:t>
      </w:r>
      <w:r>
        <w:rPr>
          <w:rFonts w:hint="eastAsia" w:eastAsia="宋体"/>
          <w:color w:val="auto"/>
          <w:sz w:val="24"/>
          <w:szCs w:val="24"/>
          <w:highlight w:val="none"/>
        </w:rPr>
        <w:t>人的建筑主体或其它产品造成损坏，应负责修理或给予赔偿。</w:t>
      </w:r>
    </w:p>
    <w:p w14:paraId="44617031">
      <w:pPr>
        <w:spacing w:line="360" w:lineRule="auto"/>
        <w:ind w:firstLine="482"/>
        <w:rPr>
          <w:rFonts w:eastAsia="宋体"/>
          <w:b/>
          <w:bCs/>
          <w:color w:val="auto"/>
          <w:sz w:val="24"/>
          <w:szCs w:val="24"/>
          <w:highlight w:val="none"/>
        </w:rPr>
      </w:pPr>
      <w:r>
        <w:rPr>
          <w:rFonts w:hint="eastAsia" w:eastAsia="宋体"/>
          <w:b/>
          <w:bCs/>
          <w:color w:val="auto"/>
          <w:sz w:val="24"/>
          <w:szCs w:val="24"/>
          <w:highlight w:val="none"/>
          <w:lang w:eastAsia="zh-CN"/>
        </w:rPr>
        <w:t>七</w:t>
      </w:r>
      <w:r>
        <w:rPr>
          <w:rFonts w:hint="eastAsia" w:eastAsia="宋体"/>
          <w:b/>
          <w:bCs/>
          <w:color w:val="auto"/>
          <w:sz w:val="24"/>
          <w:szCs w:val="24"/>
          <w:highlight w:val="none"/>
        </w:rPr>
        <w:t>、验收</w:t>
      </w:r>
    </w:p>
    <w:p w14:paraId="4B616000">
      <w:pPr>
        <w:spacing w:line="360" w:lineRule="auto"/>
        <w:ind w:firstLine="480"/>
        <w:rPr>
          <w:rFonts w:eastAsia="宋体"/>
          <w:color w:val="auto"/>
          <w:sz w:val="24"/>
          <w:szCs w:val="24"/>
          <w:highlight w:val="none"/>
        </w:rPr>
      </w:pPr>
      <w:r>
        <w:rPr>
          <w:rFonts w:hint="eastAsia" w:eastAsia="宋体"/>
          <w:color w:val="auto"/>
          <w:sz w:val="24"/>
          <w:szCs w:val="24"/>
          <w:highlight w:val="none"/>
          <w:lang w:val="en-US" w:eastAsia="zh-CN"/>
        </w:rPr>
        <w:t>1、</w:t>
      </w:r>
      <w:r>
        <w:rPr>
          <w:rFonts w:hint="eastAsia" w:eastAsia="宋体"/>
          <w:color w:val="auto"/>
          <w:sz w:val="24"/>
          <w:szCs w:val="24"/>
          <w:highlight w:val="none"/>
        </w:rPr>
        <w:t>采购方将在</w:t>
      </w:r>
      <w:r>
        <w:rPr>
          <w:rFonts w:hint="eastAsia" w:eastAsia="宋体"/>
          <w:color w:val="auto"/>
          <w:sz w:val="24"/>
          <w:szCs w:val="24"/>
          <w:highlight w:val="none"/>
          <w:lang w:eastAsia="zh-CN"/>
        </w:rPr>
        <w:t>成交</w:t>
      </w:r>
      <w:r>
        <w:rPr>
          <w:rFonts w:hint="eastAsia" w:eastAsia="宋体"/>
          <w:color w:val="auto"/>
          <w:sz w:val="24"/>
          <w:szCs w:val="24"/>
          <w:highlight w:val="none"/>
        </w:rPr>
        <w:t>供应商安装调试合格后组织验收，如果货物的质量和规格与合同规定不符，或在质量保证期内发现货物是有缺陷的，包括潜在缺陷或使用不符合要求的材料，采购方应报请当地质检部门进行检查，并有权凭其出具的检验报告向</w:t>
      </w:r>
      <w:r>
        <w:rPr>
          <w:rFonts w:hint="eastAsia" w:eastAsia="宋体"/>
          <w:color w:val="auto"/>
          <w:sz w:val="24"/>
          <w:szCs w:val="24"/>
          <w:highlight w:val="none"/>
          <w:lang w:eastAsia="zh-CN"/>
        </w:rPr>
        <w:t>成交</w:t>
      </w:r>
      <w:r>
        <w:rPr>
          <w:rFonts w:hint="eastAsia" w:eastAsia="宋体"/>
          <w:color w:val="auto"/>
          <w:sz w:val="24"/>
          <w:szCs w:val="24"/>
          <w:highlight w:val="none"/>
        </w:rPr>
        <w:t>供应商提出索赔。</w:t>
      </w:r>
    </w:p>
    <w:p w14:paraId="2D2A11BA">
      <w:pPr>
        <w:spacing w:line="360" w:lineRule="auto"/>
        <w:ind w:firstLine="480"/>
        <w:rPr>
          <w:rFonts w:eastAsia="宋体"/>
          <w:color w:val="auto"/>
          <w:sz w:val="24"/>
          <w:szCs w:val="24"/>
          <w:highlight w:val="none"/>
        </w:rPr>
      </w:pPr>
      <w:r>
        <w:rPr>
          <w:rFonts w:hint="eastAsia" w:eastAsia="宋体"/>
          <w:color w:val="auto"/>
          <w:sz w:val="24"/>
          <w:szCs w:val="24"/>
          <w:highlight w:val="none"/>
          <w:lang w:val="en-US" w:eastAsia="zh-CN"/>
        </w:rPr>
        <w:t>2</w:t>
      </w:r>
      <w:r>
        <w:rPr>
          <w:rFonts w:hint="eastAsia" w:eastAsia="宋体"/>
          <w:color w:val="auto"/>
          <w:sz w:val="24"/>
          <w:szCs w:val="24"/>
          <w:highlight w:val="none"/>
        </w:rPr>
        <w:t>、验收由</w:t>
      </w:r>
      <w:r>
        <w:rPr>
          <w:rFonts w:hint="eastAsia" w:eastAsia="宋体"/>
          <w:color w:val="auto"/>
          <w:sz w:val="24"/>
          <w:szCs w:val="24"/>
          <w:highlight w:val="none"/>
          <w:lang w:eastAsia="zh-CN"/>
        </w:rPr>
        <w:t>采购</w:t>
      </w:r>
      <w:r>
        <w:rPr>
          <w:rFonts w:hint="eastAsia" w:eastAsia="宋体"/>
          <w:color w:val="auto"/>
          <w:sz w:val="24"/>
          <w:szCs w:val="24"/>
          <w:highlight w:val="none"/>
        </w:rPr>
        <w:t>人和其他相关部门共同组织。</w:t>
      </w:r>
    </w:p>
    <w:p w14:paraId="50AB60E1">
      <w:pPr>
        <w:keepNext/>
        <w:keepLines/>
        <w:spacing w:line="360" w:lineRule="auto"/>
        <w:ind w:firstLine="482"/>
        <w:outlineLvl w:val="1"/>
        <w:rPr>
          <w:rFonts w:eastAsia="宋体" w:cs="宋体"/>
          <w:b/>
          <w:bCs/>
          <w:color w:val="auto"/>
          <w:sz w:val="24"/>
          <w:szCs w:val="24"/>
          <w:highlight w:val="none"/>
        </w:rPr>
      </w:pPr>
      <w:r>
        <w:rPr>
          <w:rFonts w:hint="eastAsia" w:eastAsia="宋体" w:cs="宋体"/>
          <w:b/>
          <w:bCs/>
          <w:color w:val="auto"/>
          <w:sz w:val="24"/>
          <w:szCs w:val="24"/>
          <w:highlight w:val="none"/>
          <w:lang w:eastAsia="zh-CN"/>
        </w:rPr>
        <w:t>八</w:t>
      </w:r>
      <w:r>
        <w:rPr>
          <w:rFonts w:hint="eastAsia" w:eastAsia="宋体" w:cs="宋体"/>
          <w:b/>
          <w:bCs/>
          <w:color w:val="auto"/>
          <w:sz w:val="24"/>
          <w:szCs w:val="24"/>
          <w:highlight w:val="none"/>
        </w:rPr>
        <w:t>、其它要求</w:t>
      </w:r>
    </w:p>
    <w:p w14:paraId="2A00E1E9">
      <w:pPr>
        <w:spacing w:line="360" w:lineRule="auto"/>
        <w:ind w:firstLine="480"/>
        <w:rPr>
          <w:rFonts w:eastAsia="宋体"/>
          <w:color w:val="auto"/>
          <w:sz w:val="24"/>
          <w:szCs w:val="24"/>
          <w:highlight w:val="none"/>
        </w:rPr>
      </w:pPr>
      <w:r>
        <w:rPr>
          <w:rFonts w:hint="eastAsia" w:eastAsia="宋体"/>
          <w:color w:val="auto"/>
          <w:sz w:val="24"/>
          <w:szCs w:val="24"/>
          <w:highlight w:val="none"/>
          <w:lang w:val="en-US" w:eastAsia="zh-CN"/>
        </w:rPr>
        <w:t>1</w:t>
      </w:r>
      <w:r>
        <w:rPr>
          <w:rFonts w:hint="eastAsia" w:eastAsia="宋体"/>
          <w:color w:val="auto"/>
          <w:sz w:val="24"/>
          <w:szCs w:val="24"/>
          <w:highlight w:val="none"/>
        </w:rPr>
        <w:t>、现场条件</w:t>
      </w:r>
    </w:p>
    <w:p w14:paraId="5EC49043">
      <w:pPr>
        <w:spacing w:line="360" w:lineRule="auto"/>
        <w:ind w:firstLine="480"/>
        <w:rPr>
          <w:rFonts w:eastAsia="宋体"/>
          <w:color w:val="auto"/>
          <w:sz w:val="24"/>
          <w:szCs w:val="24"/>
          <w:highlight w:val="none"/>
        </w:rPr>
      </w:pPr>
      <w:r>
        <w:rPr>
          <w:rFonts w:hint="eastAsia" w:eastAsia="宋体"/>
          <w:color w:val="auto"/>
          <w:sz w:val="24"/>
          <w:szCs w:val="24"/>
          <w:highlight w:val="none"/>
        </w:rPr>
        <w:t>（1）已具备实施条件，但项目实施不能影响医院正常的医疗工作。</w:t>
      </w:r>
    </w:p>
    <w:p w14:paraId="7F7FCD17">
      <w:pPr>
        <w:spacing w:line="360" w:lineRule="auto"/>
        <w:ind w:firstLine="480"/>
        <w:rPr>
          <w:rFonts w:hint="eastAsia" w:eastAsia="宋体"/>
          <w:color w:val="auto"/>
          <w:sz w:val="24"/>
          <w:szCs w:val="24"/>
          <w:highlight w:val="none"/>
        </w:rPr>
      </w:pPr>
      <w:r>
        <w:rPr>
          <w:rFonts w:hint="eastAsia" w:eastAsia="宋体"/>
          <w:color w:val="auto"/>
          <w:sz w:val="24"/>
          <w:szCs w:val="24"/>
          <w:highlight w:val="none"/>
        </w:rPr>
        <w:t>（2）供应商应联系采购人对现场和周围环境进行踏勘和了解，以获取有关编制</w:t>
      </w:r>
      <w:r>
        <w:rPr>
          <w:rFonts w:hint="eastAsia" w:eastAsia="宋体"/>
          <w:color w:val="auto"/>
          <w:sz w:val="24"/>
          <w:szCs w:val="24"/>
          <w:highlight w:val="none"/>
          <w:lang w:eastAsia="zh-CN"/>
        </w:rPr>
        <w:t>响应</w:t>
      </w:r>
      <w:r>
        <w:rPr>
          <w:rFonts w:hint="eastAsia" w:eastAsia="宋体"/>
          <w:color w:val="auto"/>
          <w:sz w:val="24"/>
          <w:szCs w:val="24"/>
          <w:highlight w:val="none"/>
        </w:rPr>
        <w:t>文件和签署合同所需的各种资料，并应充分考虑影响本次报价的因素、预计实施过程中各种不利因素，由此可能发生的费用均由供应商考虑并包含在</w:t>
      </w:r>
      <w:r>
        <w:rPr>
          <w:rFonts w:hint="eastAsia" w:eastAsia="宋体"/>
          <w:color w:val="auto"/>
          <w:sz w:val="24"/>
          <w:szCs w:val="24"/>
          <w:highlight w:val="none"/>
          <w:lang w:eastAsia="zh-CN"/>
        </w:rPr>
        <w:t>响应</w:t>
      </w:r>
      <w:r>
        <w:rPr>
          <w:rFonts w:hint="eastAsia" w:eastAsia="宋体"/>
          <w:color w:val="auto"/>
          <w:sz w:val="24"/>
          <w:szCs w:val="24"/>
          <w:highlight w:val="none"/>
        </w:rPr>
        <w:t>报价中。</w:t>
      </w:r>
      <w:r>
        <w:rPr>
          <w:rFonts w:hint="eastAsia" w:eastAsia="宋体"/>
          <w:color w:val="auto"/>
          <w:sz w:val="24"/>
          <w:szCs w:val="24"/>
          <w:highlight w:val="none"/>
          <w:lang w:eastAsia="zh-CN"/>
        </w:rPr>
        <w:t>成交</w:t>
      </w:r>
      <w:r>
        <w:rPr>
          <w:rFonts w:hint="eastAsia" w:eastAsia="宋体"/>
          <w:color w:val="auto"/>
          <w:sz w:val="24"/>
          <w:szCs w:val="24"/>
          <w:highlight w:val="none"/>
        </w:rPr>
        <w:t>后，供应商不得再以不完全了解现场情况等为理由而提出额外付款或延长工期等的要求，若有此类要求，</w:t>
      </w:r>
      <w:r>
        <w:rPr>
          <w:rFonts w:hint="eastAsia" w:eastAsia="宋体"/>
          <w:color w:val="auto"/>
          <w:sz w:val="24"/>
          <w:szCs w:val="24"/>
          <w:highlight w:val="none"/>
          <w:lang w:eastAsia="zh-CN"/>
        </w:rPr>
        <w:t>采购</w:t>
      </w:r>
      <w:r>
        <w:rPr>
          <w:rFonts w:hint="eastAsia" w:eastAsia="宋体"/>
          <w:color w:val="auto"/>
          <w:sz w:val="24"/>
          <w:szCs w:val="24"/>
          <w:highlight w:val="none"/>
        </w:rPr>
        <w:t>人将不作任何答复与考虑，供应商应承担现场踏勘的责任和风险，踏勘现场的费用由供应商自行承担。</w:t>
      </w:r>
    </w:p>
    <w:p w14:paraId="170217FC">
      <w:pPr>
        <w:spacing w:line="360" w:lineRule="auto"/>
        <w:ind w:firstLine="480"/>
        <w:rPr>
          <w:rFonts w:hint="eastAsia" w:eastAsia="宋体"/>
          <w:b/>
          <w:bCs w:val="0"/>
          <w:color w:val="auto"/>
          <w:sz w:val="24"/>
          <w:szCs w:val="24"/>
          <w:highlight w:val="none"/>
        </w:rPr>
      </w:pPr>
      <w:r>
        <w:rPr>
          <w:rFonts w:hint="eastAsia" w:ascii="宋体" w:hAnsi="宋体" w:eastAsia="宋体" w:cs="宋体"/>
          <w:color w:val="auto"/>
          <w:sz w:val="24"/>
          <w:szCs w:val="24"/>
          <w:highlight w:val="none"/>
        </w:rPr>
        <w:t>▲</w:t>
      </w:r>
      <w:r>
        <w:rPr>
          <w:rFonts w:hint="eastAsia" w:eastAsia="宋体"/>
          <w:b/>
          <w:bCs w:val="0"/>
          <w:color w:val="auto"/>
          <w:sz w:val="24"/>
          <w:szCs w:val="24"/>
          <w:highlight w:val="none"/>
          <w:lang w:eastAsia="zh-CN"/>
        </w:rPr>
        <w:t>响应单位</w:t>
      </w:r>
      <w:r>
        <w:rPr>
          <w:rFonts w:hint="eastAsia" w:eastAsia="宋体"/>
          <w:b/>
          <w:bCs w:val="0"/>
          <w:color w:val="auto"/>
          <w:sz w:val="24"/>
          <w:szCs w:val="24"/>
          <w:highlight w:val="none"/>
        </w:rPr>
        <w:t>提供现场勘察</w:t>
      </w:r>
      <w:r>
        <w:rPr>
          <w:rFonts w:hint="eastAsia" w:eastAsia="宋体"/>
          <w:b/>
          <w:bCs w:val="0"/>
          <w:color w:val="auto"/>
          <w:sz w:val="24"/>
          <w:szCs w:val="24"/>
          <w:highlight w:val="none"/>
          <w:lang w:eastAsia="zh-CN"/>
        </w:rPr>
        <w:t>承诺函，</w:t>
      </w:r>
      <w:r>
        <w:rPr>
          <w:rFonts w:hint="eastAsia" w:ascii="Times New Roman" w:hAnsi="Times New Roman" w:eastAsia="宋体" w:cs="宋体"/>
          <w:b/>
          <w:bCs/>
          <w:color w:val="auto"/>
          <w:sz w:val="24"/>
          <w:szCs w:val="24"/>
          <w:highlight w:val="none"/>
        </w:rPr>
        <w:t>联系人：</w:t>
      </w:r>
      <w:r>
        <w:rPr>
          <w:rFonts w:hint="eastAsia" w:ascii="Times New Roman" w:hAnsi="Times New Roman" w:eastAsia="宋体" w:cs="宋体"/>
          <w:b/>
          <w:bCs/>
          <w:color w:val="auto"/>
          <w:sz w:val="24"/>
          <w:szCs w:val="24"/>
          <w:highlight w:val="none"/>
          <w:lang w:eastAsia="zh-CN"/>
        </w:rPr>
        <w:t>何树兵，</w:t>
      </w:r>
      <w:r>
        <w:rPr>
          <w:rFonts w:hint="eastAsia" w:ascii="Times New Roman" w:hAnsi="Times New Roman" w:eastAsia="宋体" w:cs="宋体"/>
          <w:b/>
          <w:bCs/>
          <w:color w:val="auto"/>
          <w:sz w:val="24"/>
          <w:szCs w:val="24"/>
          <w:highlight w:val="none"/>
        </w:rPr>
        <w:t>联系电话：0513-8511601</w:t>
      </w:r>
      <w:r>
        <w:rPr>
          <w:rFonts w:hint="eastAsia" w:ascii="Times New Roman" w:hAnsi="Times New Roman" w:eastAsia="宋体" w:cs="宋体"/>
          <w:b/>
          <w:bCs/>
          <w:color w:val="auto"/>
          <w:sz w:val="24"/>
          <w:szCs w:val="24"/>
          <w:highlight w:val="none"/>
          <w:lang w:val="en-US" w:eastAsia="zh-CN"/>
        </w:rPr>
        <w:t>5</w:t>
      </w:r>
      <w:r>
        <w:rPr>
          <w:rFonts w:hint="eastAsia" w:ascii="Times New Roman" w:hAnsi="Times New Roman" w:eastAsia="宋体" w:cs="宋体"/>
          <w:b/>
          <w:bCs/>
          <w:color w:val="auto"/>
          <w:sz w:val="24"/>
          <w:szCs w:val="24"/>
          <w:highlight w:val="none"/>
          <w:lang w:eastAsia="zh-CN"/>
        </w:rPr>
        <w:t>。</w:t>
      </w:r>
      <w:r>
        <w:rPr>
          <w:rFonts w:hint="eastAsia" w:eastAsia="宋体"/>
          <w:b/>
          <w:bCs w:val="0"/>
          <w:color w:val="auto"/>
          <w:sz w:val="24"/>
          <w:szCs w:val="24"/>
          <w:highlight w:val="none"/>
        </w:rPr>
        <w:t>经采购人签字或盖章，否则作无效响应处理</w:t>
      </w:r>
      <w:r>
        <w:rPr>
          <w:rFonts w:hint="eastAsia" w:eastAsia="宋体"/>
          <w:b/>
          <w:bCs w:val="0"/>
          <w:color w:val="auto"/>
          <w:sz w:val="24"/>
          <w:szCs w:val="24"/>
          <w:highlight w:val="none"/>
          <w:lang w:eastAsia="zh-CN"/>
        </w:rPr>
        <w:t>。</w:t>
      </w:r>
      <w:r>
        <w:rPr>
          <w:rFonts w:hint="eastAsia" w:eastAsia="宋体"/>
          <w:b/>
          <w:bCs w:val="0"/>
          <w:color w:val="auto"/>
          <w:sz w:val="24"/>
          <w:szCs w:val="24"/>
          <w:highlight w:val="none"/>
        </w:rPr>
        <w:t>（格式</w:t>
      </w:r>
      <w:r>
        <w:rPr>
          <w:rFonts w:hint="eastAsia" w:eastAsia="宋体"/>
          <w:b/>
          <w:bCs w:val="0"/>
          <w:color w:val="auto"/>
          <w:sz w:val="24"/>
          <w:szCs w:val="24"/>
          <w:highlight w:val="none"/>
          <w:lang w:eastAsia="zh-CN"/>
        </w:rPr>
        <w:t>见第七章</w:t>
      </w:r>
      <w:r>
        <w:rPr>
          <w:rFonts w:hint="eastAsia" w:eastAsia="宋体"/>
          <w:b/>
          <w:bCs w:val="0"/>
          <w:color w:val="auto"/>
          <w:sz w:val="24"/>
          <w:szCs w:val="24"/>
          <w:highlight w:val="none"/>
        </w:rPr>
        <w:t>）</w:t>
      </w:r>
    </w:p>
    <w:p w14:paraId="2B70E72B">
      <w:pPr>
        <w:keepNext/>
        <w:keepLines/>
        <w:spacing w:line="360" w:lineRule="auto"/>
        <w:ind w:firstLine="482"/>
        <w:outlineLvl w:val="1"/>
        <w:rPr>
          <w:rFonts w:eastAsia="宋体" w:cs="宋体"/>
          <w:b/>
          <w:bCs/>
          <w:color w:val="auto"/>
          <w:sz w:val="24"/>
          <w:szCs w:val="24"/>
          <w:highlight w:val="none"/>
        </w:rPr>
      </w:pPr>
      <w:r>
        <w:rPr>
          <w:rFonts w:hint="eastAsia" w:eastAsia="宋体" w:cs="宋体"/>
          <w:b/>
          <w:bCs/>
          <w:color w:val="auto"/>
          <w:sz w:val="24"/>
          <w:szCs w:val="24"/>
          <w:highlight w:val="none"/>
          <w:lang w:eastAsia="zh-CN"/>
        </w:rPr>
        <w:t>九</w:t>
      </w:r>
      <w:r>
        <w:rPr>
          <w:rFonts w:hint="eastAsia" w:eastAsia="宋体" w:cs="宋体"/>
          <w:b/>
          <w:bCs/>
          <w:color w:val="auto"/>
          <w:sz w:val="24"/>
          <w:szCs w:val="24"/>
          <w:highlight w:val="none"/>
        </w:rPr>
        <w:t>、付款方式：</w:t>
      </w:r>
    </w:p>
    <w:p w14:paraId="155B61A1">
      <w:pPr>
        <w:spacing w:line="360" w:lineRule="auto"/>
        <w:ind w:firstLine="480"/>
        <w:rPr>
          <w:rFonts w:eastAsia="宋体"/>
          <w:color w:val="auto"/>
          <w:sz w:val="32"/>
          <w:szCs w:val="32"/>
          <w:highlight w:val="none"/>
        </w:rPr>
      </w:pPr>
      <w:r>
        <w:rPr>
          <w:rFonts w:hint="eastAsia" w:eastAsia="宋体" w:cs="宋体"/>
          <w:color w:val="auto"/>
          <w:sz w:val="24"/>
          <w:szCs w:val="24"/>
          <w:highlight w:val="none"/>
        </w:rPr>
        <w:t>设备安装调试并经验收合格交付</w:t>
      </w:r>
      <w:r>
        <w:rPr>
          <w:rFonts w:hint="eastAsia" w:eastAsia="宋体" w:cs="宋体"/>
          <w:color w:val="auto"/>
          <w:sz w:val="24"/>
          <w:szCs w:val="24"/>
          <w:highlight w:val="none"/>
          <w:lang w:eastAsia="zh-CN"/>
        </w:rPr>
        <w:t>采购</w:t>
      </w:r>
      <w:r>
        <w:rPr>
          <w:rFonts w:hint="eastAsia" w:eastAsia="宋体" w:cs="宋体"/>
          <w:color w:val="auto"/>
          <w:sz w:val="24"/>
          <w:szCs w:val="24"/>
          <w:highlight w:val="none"/>
        </w:rPr>
        <w:t>人使用后付至合同价的80%；余款20%自验收合格之日起两年无质量问题一次性结清。</w:t>
      </w:r>
    </w:p>
    <w:p w14:paraId="23AE29CD">
      <w:pPr>
        <w:spacing w:line="360" w:lineRule="auto"/>
        <w:ind w:firstLine="480"/>
        <w:jc w:val="left"/>
        <w:rPr>
          <w:rFonts w:eastAsia="宋体" w:cs="宋体"/>
          <w:color w:val="auto"/>
          <w:sz w:val="24"/>
          <w:szCs w:val="24"/>
          <w:highlight w:val="none"/>
        </w:rPr>
      </w:pPr>
      <w:r>
        <w:rPr>
          <w:rFonts w:hint="eastAsia" w:eastAsia="宋体" w:cs="宋体"/>
          <w:color w:val="auto"/>
          <w:sz w:val="24"/>
          <w:szCs w:val="24"/>
          <w:highlight w:val="none"/>
        </w:rPr>
        <w:t>以上付款均不计利息，</w:t>
      </w:r>
      <w:r>
        <w:rPr>
          <w:rFonts w:hint="eastAsia" w:eastAsia="宋体" w:cs="宋体"/>
          <w:color w:val="auto"/>
          <w:sz w:val="24"/>
          <w:szCs w:val="24"/>
          <w:highlight w:val="none"/>
          <w:lang w:eastAsia="zh-CN"/>
        </w:rPr>
        <w:t>成交</w:t>
      </w:r>
      <w:r>
        <w:rPr>
          <w:rFonts w:hint="eastAsia" w:eastAsia="宋体" w:cs="宋体"/>
          <w:color w:val="auto"/>
          <w:sz w:val="24"/>
          <w:szCs w:val="24"/>
          <w:highlight w:val="none"/>
        </w:rPr>
        <w:t>供应商应出具由税务部门认可的正式发票。</w:t>
      </w:r>
    </w:p>
    <w:p w14:paraId="469E48FE">
      <w:pPr>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br w:type="page"/>
      </w:r>
    </w:p>
    <w:p w14:paraId="63A026ED">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第四章</w:t>
      </w:r>
      <w:bookmarkStart w:id="11" w:name="_Toc43217893"/>
      <w:bookmarkStart w:id="12" w:name="_Toc38121794"/>
      <w:bookmarkStart w:id="13" w:name="_Toc37322565"/>
      <w:bookmarkStart w:id="14" w:name="_Toc85627670"/>
      <w:bookmarkStart w:id="15" w:name="_Toc182848996"/>
      <w:r>
        <w:rPr>
          <w:rFonts w:hint="eastAsia" w:ascii="Times New Roman" w:hAnsi="Times New Roman" w:eastAsia="宋体" w:cs="宋体"/>
          <w:color w:val="auto"/>
          <w:w w:val="80"/>
          <w:sz w:val="48"/>
          <w:szCs w:val="44"/>
          <w:highlight w:val="none"/>
        </w:rPr>
        <w:t xml:space="preserve"> 评审方法和程序</w:t>
      </w:r>
      <w:bookmarkEnd w:id="11"/>
      <w:bookmarkEnd w:id="12"/>
      <w:bookmarkEnd w:id="13"/>
      <w:bookmarkEnd w:id="14"/>
      <w:bookmarkEnd w:id="15"/>
    </w:p>
    <w:p w14:paraId="42F72455">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bookmarkStart w:id="16" w:name="_Toc363573857"/>
      <w:bookmarkEnd w:id="16"/>
      <w:r>
        <w:rPr>
          <w:rFonts w:hint="eastAsia" w:ascii="Times New Roman" w:hAnsi="Times New Roman" w:eastAsia="宋体" w:cs="宋体"/>
          <w:b/>
          <w:bCs/>
          <w:color w:val="auto"/>
          <w:szCs w:val="24"/>
          <w:highlight w:val="none"/>
          <w:shd w:val="clear" w:color="auto" w:fill="FFFFFF"/>
        </w:rPr>
        <w:t>一、代理机构组织磋商</w:t>
      </w:r>
    </w:p>
    <w:p w14:paraId="13DD63E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1、本次竞争性磋商依据《中华人民共和国政府采购法》、《政府采购竞争性磋商采购人式管理暂行办法》及有关法规成立磋商小组。磋商小组由3人以上单数组成。</w:t>
      </w:r>
    </w:p>
    <w:p w14:paraId="15F63C2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2、磋商小组的职责：</w:t>
      </w:r>
    </w:p>
    <w:p w14:paraId="4F1397F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（1）磋商小组成员应当按照客观、公正、审慎的原则，根据磋商文件规定的评审程序、评审方法和评审标准进行独立评审。</w:t>
      </w:r>
    </w:p>
    <w:p w14:paraId="73A6820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（2）磋商小组成员应当遵守评审工作纪律，不得泄露评审情况和评审中获悉的商业秘密，对个人的评审意见承担法律责任；</w:t>
      </w:r>
    </w:p>
    <w:p w14:paraId="6EAA2C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（3）磋商小组成员在评审过程中发现供应商有行贿、提供虚假材料或者串通等违法行为的，应当及时向财政部门报告。</w:t>
      </w:r>
    </w:p>
    <w:p w14:paraId="66B679F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（4）磋商小组成员在评审过程中受到非法干涉的，应当及时向财政、监察等部门举报。</w:t>
      </w:r>
    </w:p>
    <w:p w14:paraId="0BB9E27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（5）配合采购单位答复供应商提出的质疑。</w:t>
      </w:r>
    </w:p>
    <w:p w14:paraId="587F1F1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3、评审有关记录由磋商小组成员签名，存档备查。</w:t>
      </w:r>
    </w:p>
    <w:p w14:paraId="015F39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4、供应商的法定代表人或被授权人须持身份证准时参加磋商开标会。</w:t>
      </w:r>
    </w:p>
    <w:p w14:paraId="27EFC6A3">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二、磋商的原则及方法</w:t>
      </w:r>
    </w:p>
    <w:p w14:paraId="51ED04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1、磋商小组依据《中华人民共和国政府采购法》、《政府采购竞争性磋商采购人式管理暂行办法》以及有关政府采购的相关法规，遵循</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公开、公平、公正、择优、信用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的原则进行磋商评审。</w:t>
      </w:r>
    </w:p>
    <w:p w14:paraId="0DB3DEC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2、磋商小组将按照竞争性磋商文件的规定，独立对每个进入打分程序的有效投标供应商的响应文件的技术部分以打分的形式进行评审和评价。技术分取算术平均值（计算结果均四舍五入保留两位小数）。</w:t>
      </w:r>
    </w:p>
    <w:p w14:paraId="2C17DB5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67FEC03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4、除非在磋商中磋商小组对采购单位需求内容作了调整增加，或对采购内容作了实质性变更，否则</w:t>
      </w:r>
      <w:r>
        <w:rPr>
          <w:rFonts w:hint="eastAsia" w:ascii="Times New Roman" w:hAnsi="Times New Roman" w:eastAsia="宋体" w:cs="宋体"/>
          <w:b/>
          <w:color w:val="auto"/>
          <w:sz w:val="24"/>
          <w:szCs w:val="24"/>
          <w:highlight w:val="none"/>
        </w:rPr>
        <w:t>采购单位不接受供应商高于自己前一轮的磋商报价</w:t>
      </w:r>
      <w:r>
        <w:rPr>
          <w:rFonts w:hint="eastAsia" w:ascii="Times New Roman" w:hAnsi="Times New Roman" w:eastAsia="宋体" w:cs="宋体"/>
          <w:color w:val="auto"/>
          <w:sz w:val="24"/>
          <w:szCs w:val="24"/>
          <w:highlight w:val="none"/>
        </w:rPr>
        <w:t>。</w:t>
      </w:r>
    </w:p>
    <w:p w14:paraId="25F9B61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5、对于在磋商顺利开始后至最终报价前，根据磋商情况退出磋商的供应商，须以书面形式说明退出磋商的原因，经磋商小组同意可以退出磋商。</w:t>
      </w:r>
    </w:p>
    <w:p w14:paraId="5C671DC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6、</w:t>
      </w:r>
      <w:r>
        <w:rPr>
          <w:rFonts w:hint="eastAsia" w:ascii="Times New Roman" w:hAnsi="Times New Roman" w:eastAsia="宋体"/>
          <w:color w:val="auto"/>
          <w:sz w:val="24"/>
          <w:szCs w:val="24"/>
          <w:highlight w:val="none"/>
        </w:rPr>
        <w:t>单位负责人为同一人或者存在直接控股、管理关系的不同供应商，都不得在同一采购项目相同标段中同时参加磋商，一经发现，将视同围标处理。</w:t>
      </w:r>
    </w:p>
    <w:p w14:paraId="220712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14:paraId="5F671AD9">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8、若采购过程中符合要求的供应商只有两家，则由磋商小组集体讨论决定是否继续进行竞争性磋商采购活动；若采购过程中符合要求的供应商只有一家，则终止本次竞争性磋商采购活动，重新开展采购活动。</w:t>
      </w:r>
    </w:p>
    <w:p w14:paraId="642EBA46">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三、磋商评定结果的方法</w:t>
      </w:r>
    </w:p>
    <w:p w14:paraId="1FA7A4F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r>
        <w:rPr>
          <w:rFonts w:hint="eastAsia" w:ascii="Times New Roman" w:hAnsi="Times New Roman" w:eastAsia="宋体" w:cs="宋体"/>
          <w:b/>
          <w:color w:val="auto"/>
          <w:sz w:val="24"/>
          <w:szCs w:val="24"/>
          <w:highlight w:val="none"/>
          <w:u w:val="single"/>
        </w:rPr>
        <w:t>经磋商确定最终采购需求和提交最后报价的供应商后，</w:t>
      </w:r>
      <w:r>
        <w:rPr>
          <w:rFonts w:hint="eastAsia" w:ascii="Times New Roman" w:hAnsi="Times New Roman" w:eastAsia="宋体" w:cs="宋体"/>
          <w:color w:val="auto"/>
          <w:sz w:val="24"/>
          <w:szCs w:val="24"/>
          <w:highlight w:val="none"/>
        </w:rPr>
        <w:t>由磋商小组采用综合评分法</w:t>
      </w:r>
      <w:r>
        <w:rPr>
          <w:rFonts w:hint="eastAsia" w:ascii="Times New Roman" w:hAnsi="Times New Roman" w:eastAsia="宋体" w:cs="宋体"/>
          <w:b/>
          <w:color w:val="auto"/>
          <w:sz w:val="24"/>
          <w:szCs w:val="24"/>
          <w:highlight w:val="none"/>
          <w:u w:val="single"/>
        </w:rPr>
        <w:t>对提交最后报价的供应商的响应文件和最后报价</w:t>
      </w:r>
      <w:r>
        <w:rPr>
          <w:rFonts w:hint="eastAsia" w:ascii="Times New Roman" w:hAnsi="Times New Roman" w:eastAsia="宋体" w:cs="宋体"/>
          <w:color w:val="auto"/>
          <w:sz w:val="24"/>
          <w:szCs w:val="24"/>
          <w:highlight w:val="none"/>
        </w:rPr>
        <w:t>进行综合评分。</w:t>
      </w:r>
    </w:p>
    <w:p w14:paraId="68BA05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2、评审时，磋商小组各成员应当独立对每个有效响应的文件进行评价、打分，然后汇总每个供应商每项评分因素的得分（计算结果均四舍五入保留两位小数）。</w:t>
      </w:r>
    </w:p>
    <w:p w14:paraId="0452C9E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3、本次项目磋商的技术和报价评审总分值为100分。两部分评审因素比重如下：</w:t>
      </w:r>
    </w:p>
    <w:p w14:paraId="3031F85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技术分值占总分值的比重为</w:t>
      </w:r>
      <w:r>
        <w:rPr>
          <w:rFonts w:hint="eastAsia" w:ascii="Times New Roman" w:hAnsi="Times New Roman" w:eastAsia="宋体" w:cs="宋体"/>
          <w:b/>
          <w:color w:val="auto"/>
          <w:sz w:val="24"/>
          <w:szCs w:val="24"/>
          <w:highlight w:val="none"/>
          <w:u w:val="single"/>
          <w:lang w:val="en-US" w:eastAsia="zh-CN"/>
        </w:rPr>
        <w:t>60</w:t>
      </w:r>
      <w:r>
        <w:rPr>
          <w:rFonts w:hint="eastAsia" w:ascii="Times New Roman" w:hAnsi="Times New Roman" w:eastAsia="宋体" w:cs="宋体"/>
          <w:b/>
          <w:color w:val="auto"/>
          <w:sz w:val="24"/>
          <w:szCs w:val="24"/>
          <w:highlight w:val="none"/>
          <w:u w:val="single"/>
        </w:rPr>
        <w:t>%（权重）</w:t>
      </w:r>
      <w:r>
        <w:rPr>
          <w:rFonts w:hint="eastAsia" w:ascii="Times New Roman" w:hAnsi="Times New Roman" w:eastAsia="宋体" w:cs="宋体"/>
          <w:color w:val="auto"/>
          <w:sz w:val="24"/>
          <w:szCs w:val="24"/>
          <w:highlight w:val="none"/>
        </w:rPr>
        <w:t>（四舍五入保留两位小数）；</w:t>
      </w:r>
    </w:p>
    <w:p w14:paraId="1D2B31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报价分值占总分值的比重为</w:t>
      </w:r>
      <w:r>
        <w:rPr>
          <w:rFonts w:hint="eastAsia" w:ascii="Times New Roman" w:hAnsi="Times New Roman" w:eastAsia="宋体" w:cs="宋体"/>
          <w:b/>
          <w:color w:val="auto"/>
          <w:sz w:val="24"/>
          <w:szCs w:val="24"/>
          <w:highlight w:val="none"/>
          <w:u w:val="single"/>
          <w:lang w:val="en-US" w:eastAsia="zh-CN"/>
        </w:rPr>
        <w:t>40</w:t>
      </w:r>
      <w:r>
        <w:rPr>
          <w:rFonts w:hint="eastAsia" w:ascii="Times New Roman" w:hAnsi="Times New Roman" w:eastAsia="宋体" w:cs="宋体"/>
          <w:b/>
          <w:color w:val="auto"/>
          <w:sz w:val="24"/>
          <w:szCs w:val="24"/>
          <w:highlight w:val="none"/>
          <w:u w:val="single"/>
        </w:rPr>
        <w:t>%（权重）</w:t>
      </w:r>
      <w:r>
        <w:rPr>
          <w:rFonts w:hint="eastAsia" w:ascii="Times New Roman" w:hAnsi="Times New Roman" w:eastAsia="宋体" w:cs="宋体"/>
          <w:color w:val="auto"/>
          <w:sz w:val="24"/>
          <w:szCs w:val="24"/>
          <w:highlight w:val="none"/>
        </w:rPr>
        <w:t>（四舍五入保留两位小数）。</w:t>
      </w:r>
    </w:p>
    <w:p w14:paraId="2785C00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4、技术分按算术平均值计算，分值四舍五入保留两位小数。</w:t>
      </w:r>
    </w:p>
    <w:p w14:paraId="1CC32C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5、报价分统一采用低价优先法计算直接取得，与技术分相加为供应商的综合得分（四舍五入保留两位小数）。</w:t>
      </w:r>
    </w:p>
    <w:p w14:paraId="756F3D1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6、综合得分最高的供应商推荐为项目预成交人并出具评审磋商报告。</w:t>
      </w:r>
    </w:p>
    <w:p w14:paraId="2D67C28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7、确定成交候选人的特殊情况处理：</w:t>
      </w:r>
    </w:p>
    <w:p w14:paraId="47C4BA7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（1）若总分相同，则按最终报价响应得分高者优先中标。</w:t>
      </w:r>
    </w:p>
    <w:p w14:paraId="0DEF2D3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（2）若总分且最终报价响应得分相同，则采取现场抽签的方式确定（投标供应商的抽签顺序分别为各投标供应商递交响应文件签到顺序号）。</w:t>
      </w:r>
    </w:p>
    <w:p w14:paraId="3C3A1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8、磋商评审时，评委对评审的细则若有争议，由磋商小组集体讨论确定，并对未尽情况有最终解释权。</w:t>
      </w:r>
    </w:p>
    <w:p w14:paraId="1E0FFA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9、对落标的供应商不做落标原因的解释。</w:t>
      </w:r>
    </w:p>
    <w:p w14:paraId="75D37F34">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四、综合评分评审标准</w:t>
      </w:r>
    </w:p>
    <w:p w14:paraId="392D728A">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（一）商务技术分：</w:t>
      </w:r>
      <w:r>
        <w:rPr>
          <w:rFonts w:hint="eastAsia" w:ascii="Times New Roman" w:hAnsi="Times New Roman" w:cs="宋体"/>
          <w:b/>
          <w:bCs/>
          <w:color w:val="auto"/>
          <w:szCs w:val="24"/>
          <w:highlight w:val="none"/>
          <w:shd w:val="clear" w:color="auto" w:fill="FFFFFF"/>
          <w:lang w:val="en-US" w:eastAsia="zh-CN"/>
        </w:rPr>
        <w:t>60</w:t>
      </w:r>
      <w:r>
        <w:rPr>
          <w:rFonts w:hint="eastAsia" w:ascii="Times New Roman" w:hAnsi="Times New Roman" w:eastAsia="宋体" w:cs="宋体"/>
          <w:b/>
          <w:bCs/>
          <w:color w:val="auto"/>
          <w:szCs w:val="24"/>
          <w:highlight w:val="none"/>
          <w:shd w:val="clear" w:color="auto" w:fill="FFFFFF"/>
        </w:rPr>
        <w:t>分</w:t>
      </w:r>
    </w:p>
    <w:tbl>
      <w:tblPr>
        <w:tblStyle w:val="25"/>
        <w:tblW w:w="536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781"/>
        <w:gridCol w:w="6091"/>
        <w:gridCol w:w="782"/>
      </w:tblGrid>
      <w:tr w14:paraId="3826C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384" w:type="pct"/>
            <w:noWrap w:val="0"/>
            <w:vAlign w:val="center"/>
          </w:tcPr>
          <w:p w14:paraId="4022F42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49" w:type="pct"/>
            <w:noWrap w:val="0"/>
            <w:vAlign w:val="center"/>
          </w:tcPr>
          <w:p w14:paraId="37172F6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3248" w:type="pct"/>
            <w:noWrap w:val="0"/>
            <w:vAlign w:val="center"/>
          </w:tcPr>
          <w:p w14:paraId="66EF89A4">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评审细则</w:t>
            </w:r>
          </w:p>
        </w:tc>
        <w:tc>
          <w:tcPr>
            <w:tcW w:w="417" w:type="pct"/>
            <w:noWrap w:val="0"/>
            <w:vAlign w:val="center"/>
          </w:tcPr>
          <w:p w14:paraId="7A99F2D9">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50291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384" w:type="pct"/>
            <w:noWrap w:val="0"/>
            <w:vAlign w:val="center"/>
          </w:tcPr>
          <w:p w14:paraId="7185702E">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49" w:type="pct"/>
            <w:shd w:val="clear" w:color="auto" w:fill="auto"/>
            <w:noWrap w:val="0"/>
            <w:vAlign w:val="center"/>
          </w:tcPr>
          <w:p w14:paraId="626D5BC4">
            <w:pPr>
              <w:spacing w:line="360" w:lineRule="auto"/>
              <w:ind w:left="73" w:leftChars="0" w:right="91"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体系认证证书</w:t>
            </w:r>
          </w:p>
        </w:tc>
        <w:tc>
          <w:tcPr>
            <w:tcW w:w="3248" w:type="pct"/>
            <w:shd w:val="clear" w:color="auto" w:fill="auto"/>
            <w:noWrap w:val="0"/>
            <w:vAlign w:val="center"/>
          </w:tcPr>
          <w:p w14:paraId="64D62F9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板式换热机组生产厂家具有有效期内的ISO9001质量管理体系认证证书、ISO45001管理体系证书、ISO14001环境管理体系认证证书，ISO5001能源管理体系认证，每提供一项认证得2分，最高得8分。</w:t>
            </w:r>
          </w:p>
          <w:p w14:paraId="1D43B0C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（响应文件中提供相关证书复印件）</w:t>
            </w:r>
          </w:p>
        </w:tc>
        <w:tc>
          <w:tcPr>
            <w:tcW w:w="417" w:type="pct"/>
            <w:noWrap w:val="0"/>
            <w:vAlign w:val="center"/>
          </w:tcPr>
          <w:p w14:paraId="7D80344D">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r>
      <w:tr w14:paraId="350D6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384" w:type="pct"/>
            <w:shd w:val="clear" w:color="auto" w:fill="auto"/>
            <w:noWrap w:val="0"/>
            <w:vAlign w:val="center"/>
          </w:tcPr>
          <w:p w14:paraId="116A590E">
            <w:pPr>
              <w:spacing w:line="360" w:lineRule="auto"/>
              <w:ind w:left="73" w:leftChars="0" w:right="101"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949" w:type="pct"/>
            <w:shd w:val="clear" w:color="auto" w:fill="auto"/>
            <w:noWrap w:val="0"/>
            <w:vAlign w:val="center"/>
          </w:tcPr>
          <w:p w14:paraId="146206D4">
            <w:pPr>
              <w:spacing w:line="360" w:lineRule="auto"/>
              <w:ind w:left="73" w:leftChars="0" w:right="91"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业绩证明</w:t>
            </w:r>
          </w:p>
        </w:tc>
        <w:tc>
          <w:tcPr>
            <w:tcW w:w="3248" w:type="pct"/>
            <w:shd w:val="clear" w:color="auto" w:fill="auto"/>
            <w:noWrap w:val="0"/>
            <w:vAlign w:val="center"/>
          </w:tcPr>
          <w:p w14:paraId="365EA63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供应商提供自2021年1月1日</w:t>
            </w:r>
            <w:r>
              <w:rPr>
                <w:rFonts w:hint="eastAsia" w:ascii="宋体" w:hAnsi="宋体" w:eastAsia="宋体" w:cs="宋体"/>
                <w:color w:val="auto"/>
                <w:sz w:val="24"/>
                <w:szCs w:val="24"/>
                <w:highlight w:val="none"/>
              </w:rPr>
              <w:t>（以</w:t>
            </w:r>
            <w:r>
              <w:rPr>
                <w:rFonts w:hint="eastAsia" w:ascii="宋体" w:hAnsi="宋体" w:eastAsia="宋体" w:cs="宋体"/>
                <w:bCs/>
                <w:color w:val="auto"/>
                <w:sz w:val="24"/>
                <w:szCs w:val="24"/>
                <w:highlight w:val="none"/>
              </w:rPr>
              <w:t>合同</w:t>
            </w:r>
            <w:r>
              <w:rPr>
                <w:rFonts w:hint="eastAsia" w:ascii="宋体" w:hAnsi="宋体" w:eastAsia="宋体" w:cs="宋体"/>
                <w:color w:val="auto"/>
                <w:sz w:val="24"/>
                <w:szCs w:val="24"/>
                <w:highlight w:val="none"/>
              </w:rPr>
              <w:t>签订日期</w:t>
            </w:r>
            <w:r>
              <w:rPr>
                <w:rFonts w:hint="eastAsia" w:ascii="宋体" w:hAnsi="宋体" w:eastAsia="宋体" w:cs="宋体"/>
                <w:bCs/>
                <w:color w:val="auto"/>
                <w:sz w:val="24"/>
                <w:szCs w:val="24"/>
                <w:highlight w:val="none"/>
              </w:rPr>
              <w:t>为准）至今承接的类似</w:t>
            </w:r>
            <w:r>
              <w:rPr>
                <w:rFonts w:hint="eastAsia" w:ascii="Times New Roman" w:hAnsi="Times New Roman" w:eastAsia="宋体" w:cs="宋体"/>
                <w:color w:val="auto"/>
                <w:sz w:val="24"/>
                <w:szCs w:val="24"/>
                <w:highlight w:val="none"/>
                <w:lang w:eastAsia="zh-CN"/>
              </w:rPr>
              <w:t>板式换热机组</w:t>
            </w:r>
            <w:r>
              <w:rPr>
                <w:rFonts w:hint="eastAsia" w:ascii="宋体" w:hAnsi="宋体" w:eastAsia="宋体" w:cs="宋体"/>
                <w:bCs/>
                <w:color w:val="auto"/>
                <w:sz w:val="24"/>
                <w:szCs w:val="24"/>
                <w:highlight w:val="none"/>
              </w:rPr>
              <w:t>供货业绩，每有1份符合要求的合同得2分，本项最高得</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文件中须提供①中标通知书②合同文本的主要内容③完工验收资料④不低于合同金额50%的发票作为佐证材料。</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供应商的相关证明材料均应为原件的扫描件且清晰可见，否则，</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供应商自行承担因扫描件模糊等问题导致评委无法辨识的一切后果。】</w:t>
            </w:r>
          </w:p>
        </w:tc>
        <w:tc>
          <w:tcPr>
            <w:tcW w:w="417" w:type="pct"/>
            <w:noWrap w:val="0"/>
            <w:vAlign w:val="center"/>
          </w:tcPr>
          <w:p w14:paraId="673A00DC">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r>
      <w:tr w14:paraId="6210F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384" w:type="pct"/>
            <w:shd w:val="clear" w:color="auto" w:fill="auto"/>
            <w:noWrap w:val="0"/>
            <w:vAlign w:val="center"/>
          </w:tcPr>
          <w:p w14:paraId="2A705069">
            <w:pPr>
              <w:spacing w:line="360" w:lineRule="auto"/>
              <w:ind w:left="73" w:leftChars="0" w:right="101"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49" w:type="pct"/>
            <w:shd w:val="clear" w:color="auto" w:fill="auto"/>
            <w:noWrap w:val="0"/>
            <w:vAlign w:val="center"/>
          </w:tcPr>
          <w:p w14:paraId="71E6258A">
            <w:pPr>
              <w:spacing w:line="360" w:lineRule="auto"/>
              <w:ind w:left="73" w:leftChars="0" w:right="91"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主要设备的技术质量、性能指标等</w:t>
            </w:r>
          </w:p>
        </w:tc>
        <w:tc>
          <w:tcPr>
            <w:tcW w:w="3248" w:type="pct"/>
            <w:shd w:val="clear" w:color="auto" w:fill="auto"/>
            <w:noWrap w:val="0"/>
            <w:vAlign w:val="center"/>
          </w:tcPr>
          <w:p w14:paraId="1584A88D">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1、换热器（5分）</w:t>
            </w:r>
          </w:p>
          <w:p w14:paraId="19C0BE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供应商对所投换热器的品牌档次、产地、技术参数、性能指标的描述详细全面具体，优于或完全符合本项目换热器需求的得5分； </w:t>
            </w:r>
          </w:p>
          <w:p w14:paraId="5D2914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供应商对所投换热器的品牌档次、产地、技术参数、性能指标的描述基本全面详细，基本符合本项目换热器需求的得3分； </w:t>
            </w:r>
          </w:p>
          <w:p w14:paraId="522307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供应商对所投换热器的品牌档次、产地、技术参数、性能指标等描述简单、笼统的，部分符合本项目换热器需求的得1分； 无描述的不得分。</w:t>
            </w:r>
          </w:p>
          <w:p w14:paraId="69C8D64C">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2、水泵 （5分）</w:t>
            </w:r>
          </w:p>
          <w:p w14:paraId="353302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供应商对所投水泵的品牌档次、产地、技术参数、性能指标的描述详细全面具体，优于或完全符合本项目水泵需求的得5分； </w:t>
            </w:r>
          </w:p>
          <w:p w14:paraId="770C7F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供应商对所投水泵的品牌档次、产地、技术参数、性能指标的描述基本全面详细，基本符合本项目水泵需求的得3分； </w:t>
            </w:r>
          </w:p>
          <w:p w14:paraId="3F8CE1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供应商对所投水泵的品牌档次、产地、技术参数、性能指标等描述简单、笼统的，部分符合本项目水泵需求的得1分； 无描述的不得分。</w:t>
            </w:r>
          </w:p>
          <w:p w14:paraId="2B1F5E24">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3、控制柜 （5分）</w:t>
            </w:r>
          </w:p>
          <w:p w14:paraId="766FF3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供应商对所投控制柜的品牌档次、产地、技术参数、性能指标的描述详细全面具体，优于或完全符合本项目控制柜需求的得5分； </w:t>
            </w:r>
          </w:p>
          <w:p w14:paraId="0274F7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供应商对所投控制柜的品牌档次、产地、技术参数、性能指标的描述基本全面详细，基本符合本项目控制柜需求的得3分； </w:t>
            </w:r>
          </w:p>
          <w:p w14:paraId="6E96A5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供应商对所投控制柜的品牌档次、产地、技术参数、性能指标等描述简单、笼统的，部分符合本项目控制柜需求的得1分； 无描述的不得分。</w:t>
            </w:r>
          </w:p>
          <w:p w14:paraId="702A47A9">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4、软水系统及相关阀门（5分）</w:t>
            </w:r>
          </w:p>
          <w:p w14:paraId="0DDCC8C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供应商对所投软水系统及相关阀门的品牌档次、产地、技术参数、性能指标的描述详细全面具体，优于或完全符合本项目</w:t>
            </w:r>
            <w:r>
              <w:rPr>
                <w:rFonts w:hint="eastAsia" w:ascii="宋体" w:hAnsi="宋体" w:eastAsia="宋体" w:cs="宋体"/>
                <w:color w:val="auto"/>
                <w:sz w:val="24"/>
                <w:szCs w:val="24"/>
                <w:highlight w:val="none"/>
                <w:lang w:eastAsia="zh-CN"/>
              </w:rPr>
              <w:t>软水</w:t>
            </w:r>
            <w:r>
              <w:rPr>
                <w:rFonts w:hint="eastAsia" w:ascii="宋体" w:hAnsi="宋体" w:eastAsia="宋体" w:cs="宋体"/>
                <w:color w:val="auto"/>
                <w:sz w:val="24"/>
                <w:szCs w:val="24"/>
                <w:highlight w:val="none"/>
              </w:rPr>
              <w:t xml:space="preserve">系统及相关阀门需求的得5分； </w:t>
            </w:r>
          </w:p>
          <w:p w14:paraId="05E7D0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供应商对所投软水系统及相关阀门的品牌档次、产地、技术参数、性能指标的描述基本全面详细，基本符合本项目</w:t>
            </w:r>
            <w:r>
              <w:rPr>
                <w:rFonts w:hint="eastAsia" w:ascii="宋体" w:hAnsi="宋体" w:eastAsia="宋体" w:cs="宋体"/>
                <w:color w:val="auto"/>
                <w:sz w:val="24"/>
                <w:szCs w:val="24"/>
                <w:highlight w:val="none"/>
                <w:lang w:eastAsia="zh-CN"/>
              </w:rPr>
              <w:t>软水</w:t>
            </w:r>
            <w:r>
              <w:rPr>
                <w:rFonts w:hint="eastAsia" w:ascii="宋体" w:hAnsi="宋体" w:eastAsia="宋体" w:cs="宋体"/>
                <w:color w:val="auto"/>
                <w:sz w:val="24"/>
                <w:szCs w:val="24"/>
                <w:highlight w:val="none"/>
              </w:rPr>
              <w:t xml:space="preserve">系统及相关阀门需求的得3分； </w:t>
            </w:r>
          </w:p>
          <w:p w14:paraId="2779C712">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供应商对所投软水系统及相关阀门的品牌档次、产地、技术参数、性能指标等描述简单、笼统的，部分符合本项目</w:t>
            </w:r>
            <w:r>
              <w:rPr>
                <w:rFonts w:hint="eastAsia" w:ascii="宋体" w:hAnsi="宋体" w:eastAsia="宋体" w:cs="宋体"/>
                <w:color w:val="auto"/>
                <w:sz w:val="24"/>
                <w:szCs w:val="24"/>
                <w:highlight w:val="none"/>
                <w:lang w:eastAsia="zh-CN"/>
              </w:rPr>
              <w:t>软水</w:t>
            </w:r>
            <w:r>
              <w:rPr>
                <w:rFonts w:hint="eastAsia" w:ascii="宋体" w:hAnsi="宋体" w:eastAsia="宋体" w:cs="宋体"/>
                <w:color w:val="auto"/>
                <w:sz w:val="24"/>
                <w:szCs w:val="24"/>
                <w:highlight w:val="none"/>
              </w:rPr>
              <w:t>系统及相关阀门需求的得1分；无描述的不得分。</w:t>
            </w:r>
          </w:p>
        </w:tc>
        <w:tc>
          <w:tcPr>
            <w:tcW w:w="417" w:type="pct"/>
            <w:noWrap w:val="0"/>
            <w:vAlign w:val="center"/>
          </w:tcPr>
          <w:p w14:paraId="7303CAC8">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w:t>
            </w:r>
          </w:p>
        </w:tc>
      </w:tr>
      <w:tr w14:paraId="75E45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84" w:type="pct"/>
            <w:vMerge w:val="restart"/>
            <w:noWrap w:val="0"/>
            <w:vAlign w:val="center"/>
          </w:tcPr>
          <w:p w14:paraId="104EA086">
            <w:pPr>
              <w:spacing w:line="360" w:lineRule="auto"/>
              <w:ind w:left="73" w:right="101"/>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49" w:type="pct"/>
            <w:vMerge w:val="restart"/>
            <w:tcBorders>
              <w:top w:val="single" w:color="auto" w:sz="4" w:space="0"/>
              <w:right w:val="single" w:color="auto" w:sz="4" w:space="0"/>
            </w:tcBorders>
            <w:noWrap w:val="0"/>
            <w:vAlign w:val="center"/>
          </w:tcPr>
          <w:p w14:paraId="621B6B9D">
            <w:pPr>
              <w:spacing w:line="360" w:lineRule="auto"/>
              <w:ind w:left="73" w:right="9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项目供货及实施方案</w:t>
            </w:r>
          </w:p>
        </w:tc>
        <w:tc>
          <w:tcPr>
            <w:tcW w:w="3248" w:type="pct"/>
            <w:tcBorders>
              <w:right w:val="single" w:color="auto" w:sz="4" w:space="0"/>
            </w:tcBorders>
            <w:noWrap w:val="0"/>
            <w:vAlign w:val="center"/>
          </w:tcPr>
          <w:p w14:paraId="7441DFD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1、供货、安装调试及验收方案措施（</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439ECFE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供货、安装调试及验收方案及实施进度安排</w:t>
            </w:r>
            <w:r>
              <w:rPr>
                <w:rFonts w:hint="eastAsia" w:ascii="宋体" w:hAnsi="宋体" w:eastAsia="宋体" w:cs="宋体"/>
                <w:bCs/>
                <w:color w:val="auto"/>
                <w:sz w:val="24"/>
                <w:szCs w:val="24"/>
                <w:highlight w:val="none"/>
              </w:rPr>
              <w:t>全面</w:t>
            </w:r>
            <w:r>
              <w:rPr>
                <w:rFonts w:hint="eastAsia" w:ascii="宋体" w:hAnsi="宋体" w:eastAsia="宋体" w:cs="宋体"/>
                <w:color w:val="auto"/>
                <w:sz w:val="24"/>
                <w:szCs w:val="24"/>
                <w:highlight w:val="none"/>
              </w:rPr>
              <w:t>详细合理、完全符合或优于本项目需求内容及实施进度要求的得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415030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供货、安装调试及验收方案及实施进度安排</w:t>
            </w:r>
            <w:r>
              <w:rPr>
                <w:rFonts w:hint="eastAsia" w:ascii="宋体" w:hAnsi="宋体" w:eastAsia="宋体" w:cs="宋体"/>
                <w:bCs/>
                <w:color w:val="auto"/>
                <w:sz w:val="24"/>
                <w:szCs w:val="24"/>
                <w:highlight w:val="none"/>
              </w:rPr>
              <w:t>简单</w:t>
            </w:r>
            <w:r>
              <w:rPr>
                <w:rFonts w:hint="eastAsia" w:ascii="宋体" w:hAnsi="宋体" w:eastAsia="宋体" w:cs="宋体"/>
                <w:color w:val="auto"/>
                <w:sz w:val="24"/>
                <w:szCs w:val="24"/>
                <w:highlight w:val="none"/>
              </w:rPr>
              <w:t>、不够合理、没有完全响应本项目实施进度要求的得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7E7673F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未提供供货、安装调试及验收方案及实施进度安排的，或提供不全的得0分；</w:t>
            </w:r>
          </w:p>
        </w:tc>
        <w:tc>
          <w:tcPr>
            <w:tcW w:w="417" w:type="pct"/>
            <w:vMerge w:val="restart"/>
            <w:tcBorders>
              <w:left w:val="single" w:color="auto" w:sz="4" w:space="0"/>
            </w:tcBorders>
            <w:noWrap w:val="0"/>
            <w:vAlign w:val="center"/>
          </w:tcPr>
          <w:p w14:paraId="42EF971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14:paraId="7B6FA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84" w:type="pct"/>
            <w:vMerge w:val="continue"/>
            <w:noWrap w:val="0"/>
            <w:vAlign w:val="center"/>
          </w:tcPr>
          <w:p w14:paraId="51126839">
            <w:pPr>
              <w:spacing w:line="360" w:lineRule="auto"/>
              <w:ind w:left="73" w:right="101"/>
              <w:jc w:val="center"/>
              <w:rPr>
                <w:rFonts w:hint="eastAsia" w:ascii="宋体" w:hAnsi="宋体" w:eastAsia="宋体" w:cs="宋体"/>
                <w:color w:val="auto"/>
                <w:sz w:val="24"/>
                <w:szCs w:val="24"/>
                <w:highlight w:val="none"/>
              </w:rPr>
            </w:pPr>
          </w:p>
        </w:tc>
        <w:tc>
          <w:tcPr>
            <w:tcW w:w="949" w:type="pct"/>
            <w:vMerge w:val="continue"/>
            <w:tcBorders>
              <w:right w:val="single" w:color="auto" w:sz="4" w:space="0"/>
            </w:tcBorders>
            <w:noWrap w:val="0"/>
            <w:vAlign w:val="center"/>
          </w:tcPr>
          <w:p w14:paraId="614FA120">
            <w:pPr>
              <w:spacing w:line="360" w:lineRule="auto"/>
              <w:ind w:left="73" w:right="91"/>
              <w:jc w:val="center"/>
              <w:rPr>
                <w:rFonts w:hint="eastAsia" w:ascii="宋体" w:hAnsi="宋体" w:eastAsia="宋体" w:cs="宋体"/>
                <w:color w:val="auto"/>
                <w:sz w:val="24"/>
                <w:szCs w:val="24"/>
                <w:highlight w:val="none"/>
              </w:rPr>
            </w:pPr>
          </w:p>
        </w:tc>
        <w:tc>
          <w:tcPr>
            <w:tcW w:w="3248" w:type="pct"/>
            <w:tcBorders>
              <w:right w:val="single" w:color="auto" w:sz="4" w:space="0"/>
            </w:tcBorders>
            <w:noWrap w:val="0"/>
            <w:vAlign w:val="center"/>
          </w:tcPr>
          <w:p w14:paraId="4F5242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2、人员配置及安装</w:t>
            </w:r>
            <w:r>
              <w:rPr>
                <w:rFonts w:hint="eastAsia" w:ascii="宋体" w:hAnsi="宋体" w:eastAsia="宋体" w:cs="宋体"/>
                <w:bCs/>
                <w:color w:val="auto"/>
                <w:sz w:val="24"/>
                <w:szCs w:val="24"/>
                <w:highlight w:val="none"/>
              </w:rPr>
              <w:t>设备</w:t>
            </w:r>
            <w:r>
              <w:rPr>
                <w:rFonts w:hint="eastAsia" w:ascii="宋体" w:hAnsi="宋体" w:eastAsia="宋体" w:cs="宋体"/>
                <w:color w:val="auto"/>
                <w:sz w:val="24"/>
                <w:szCs w:val="24"/>
                <w:highlight w:val="none"/>
              </w:rPr>
              <w:t>配置方案（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510B5C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人员配置方案详细具体，</w:t>
            </w:r>
            <w:r>
              <w:rPr>
                <w:rFonts w:hint="eastAsia" w:ascii="宋体" w:hAnsi="宋体" w:eastAsia="宋体" w:cs="宋体"/>
                <w:bCs/>
                <w:color w:val="auto"/>
                <w:sz w:val="24"/>
                <w:szCs w:val="24"/>
                <w:highlight w:val="none"/>
              </w:rPr>
              <w:t>专业化</w:t>
            </w:r>
            <w:r>
              <w:rPr>
                <w:rFonts w:hint="eastAsia" w:ascii="宋体" w:hAnsi="宋体" w:eastAsia="宋体" w:cs="宋体"/>
                <w:color w:val="auto"/>
                <w:sz w:val="24"/>
                <w:szCs w:val="24"/>
                <w:highlight w:val="none"/>
              </w:rPr>
              <w:t>程度高，安装设备配置齐全的得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57973A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人员配置方案简单，</w:t>
            </w:r>
            <w:r>
              <w:rPr>
                <w:rFonts w:hint="eastAsia" w:ascii="宋体" w:hAnsi="宋体" w:eastAsia="宋体" w:cs="宋体"/>
                <w:bCs/>
                <w:color w:val="auto"/>
                <w:sz w:val="24"/>
                <w:szCs w:val="24"/>
                <w:highlight w:val="none"/>
              </w:rPr>
              <w:t>专业化</w:t>
            </w:r>
            <w:r>
              <w:rPr>
                <w:rFonts w:hint="eastAsia" w:ascii="宋体" w:hAnsi="宋体" w:eastAsia="宋体" w:cs="宋体"/>
                <w:color w:val="auto"/>
                <w:sz w:val="24"/>
                <w:szCs w:val="24"/>
                <w:highlight w:val="none"/>
              </w:rPr>
              <w:t>程度一般，安装设备配置不够齐全的得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0D83CD4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未提供人员配置方案及</w:t>
            </w:r>
            <w:r>
              <w:rPr>
                <w:rFonts w:hint="eastAsia" w:ascii="宋体" w:hAnsi="宋体" w:eastAsia="宋体" w:cs="宋体"/>
                <w:bCs/>
                <w:color w:val="auto"/>
                <w:sz w:val="24"/>
                <w:szCs w:val="24"/>
                <w:highlight w:val="none"/>
              </w:rPr>
              <w:t>安装</w:t>
            </w:r>
            <w:r>
              <w:rPr>
                <w:rFonts w:hint="eastAsia" w:ascii="宋体" w:hAnsi="宋体" w:eastAsia="宋体" w:cs="宋体"/>
                <w:color w:val="auto"/>
                <w:sz w:val="24"/>
                <w:szCs w:val="24"/>
                <w:highlight w:val="none"/>
              </w:rPr>
              <w:t>设备配置方案的或提供不全的不得分；</w:t>
            </w:r>
          </w:p>
        </w:tc>
        <w:tc>
          <w:tcPr>
            <w:tcW w:w="417" w:type="pct"/>
            <w:vMerge w:val="continue"/>
            <w:tcBorders>
              <w:left w:val="single" w:color="auto" w:sz="4" w:space="0"/>
            </w:tcBorders>
            <w:noWrap w:val="0"/>
            <w:vAlign w:val="center"/>
          </w:tcPr>
          <w:p w14:paraId="54480912">
            <w:pPr>
              <w:spacing w:line="360" w:lineRule="auto"/>
              <w:jc w:val="center"/>
              <w:rPr>
                <w:rFonts w:hint="default" w:ascii="宋体" w:hAnsi="宋体" w:eastAsia="宋体" w:cs="宋体"/>
                <w:color w:val="auto"/>
                <w:sz w:val="24"/>
                <w:szCs w:val="24"/>
                <w:highlight w:val="none"/>
                <w:lang w:val="en-US" w:eastAsia="zh-CN"/>
              </w:rPr>
            </w:pPr>
          </w:p>
        </w:tc>
      </w:tr>
      <w:tr w14:paraId="3F736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84" w:type="pct"/>
            <w:vMerge w:val="continue"/>
            <w:noWrap w:val="0"/>
            <w:vAlign w:val="center"/>
          </w:tcPr>
          <w:p w14:paraId="044AE3EC">
            <w:pPr>
              <w:spacing w:line="360" w:lineRule="auto"/>
              <w:ind w:left="73" w:right="101"/>
              <w:jc w:val="center"/>
              <w:rPr>
                <w:rFonts w:hint="eastAsia" w:ascii="宋体" w:hAnsi="宋体" w:eastAsia="宋体" w:cs="宋体"/>
                <w:color w:val="auto"/>
                <w:sz w:val="24"/>
                <w:szCs w:val="24"/>
                <w:highlight w:val="none"/>
              </w:rPr>
            </w:pPr>
          </w:p>
        </w:tc>
        <w:tc>
          <w:tcPr>
            <w:tcW w:w="949" w:type="pct"/>
            <w:vMerge w:val="continue"/>
            <w:tcBorders>
              <w:right w:val="single" w:color="auto" w:sz="4" w:space="0"/>
            </w:tcBorders>
            <w:noWrap w:val="0"/>
            <w:vAlign w:val="center"/>
          </w:tcPr>
          <w:p w14:paraId="0134B899">
            <w:pPr>
              <w:spacing w:line="360" w:lineRule="auto"/>
              <w:ind w:left="73" w:right="91"/>
              <w:jc w:val="center"/>
              <w:rPr>
                <w:rFonts w:hint="eastAsia" w:ascii="宋体" w:hAnsi="宋体" w:eastAsia="宋体" w:cs="宋体"/>
                <w:color w:val="auto"/>
                <w:sz w:val="24"/>
                <w:szCs w:val="24"/>
                <w:highlight w:val="none"/>
              </w:rPr>
            </w:pPr>
          </w:p>
        </w:tc>
        <w:tc>
          <w:tcPr>
            <w:tcW w:w="3248" w:type="pct"/>
            <w:tcBorders>
              <w:right w:val="single" w:color="auto" w:sz="4" w:space="0"/>
            </w:tcBorders>
            <w:noWrap w:val="0"/>
            <w:vAlign w:val="center"/>
          </w:tcPr>
          <w:p w14:paraId="1FF03A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、安全管理体系与措施、文明施工技术措施及应急处理预案（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18CCCD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供应商的安全管理</w:t>
            </w:r>
            <w:r>
              <w:rPr>
                <w:rFonts w:hint="eastAsia" w:ascii="宋体" w:hAnsi="宋体" w:eastAsia="宋体" w:cs="宋体"/>
                <w:bCs/>
                <w:color w:val="auto"/>
                <w:sz w:val="24"/>
                <w:szCs w:val="24"/>
                <w:highlight w:val="none"/>
              </w:rPr>
              <w:t>体系</w:t>
            </w:r>
            <w:r>
              <w:rPr>
                <w:rFonts w:hint="eastAsia" w:ascii="宋体" w:hAnsi="宋体" w:eastAsia="宋体" w:cs="宋体"/>
                <w:color w:val="auto"/>
                <w:sz w:val="24"/>
                <w:szCs w:val="24"/>
                <w:highlight w:val="none"/>
              </w:rPr>
              <w:t>与措施、文明施工技术措施及应急处理预案的合理、全面、有效性及科学性高的得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6B069A6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供应商的安全管理</w:t>
            </w:r>
            <w:r>
              <w:rPr>
                <w:rFonts w:hint="eastAsia" w:ascii="宋体" w:hAnsi="宋体" w:eastAsia="宋体" w:cs="宋体"/>
                <w:bCs/>
                <w:color w:val="auto"/>
                <w:sz w:val="24"/>
                <w:szCs w:val="24"/>
                <w:highlight w:val="none"/>
              </w:rPr>
              <w:t>体系</w:t>
            </w:r>
            <w:r>
              <w:rPr>
                <w:rFonts w:hint="eastAsia" w:ascii="宋体" w:hAnsi="宋体" w:eastAsia="宋体" w:cs="宋体"/>
                <w:color w:val="auto"/>
                <w:sz w:val="24"/>
                <w:szCs w:val="24"/>
                <w:highlight w:val="none"/>
              </w:rPr>
              <w:t>与措施、文明施工技术措施及应急处理预案的</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全面、有效性及科学性</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高的得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69ABD0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未提供各项措施及应急处理预案或提供不全的不得分； </w:t>
            </w:r>
          </w:p>
        </w:tc>
        <w:tc>
          <w:tcPr>
            <w:tcW w:w="417" w:type="pct"/>
            <w:vMerge w:val="continue"/>
            <w:tcBorders>
              <w:left w:val="single" w:color="auto" w:sz="4" w:space="0"/>
            </w:tcBorders>
            <w:noWrap w:val="0"/>
            <w:vAlign w:val="center"/>
          </w:tcPr>
          <w:p w14:paraId="3AC70CA7">
            <w:pPr>
              <w:spacing w:line="360" w:lineRule="auto"/>
              <w:jc w:val="center"/>
              <w:rPr>
                <w:rFonts w:hint="default" w:ascii="宋体" w:hAnsi="宋体" w:eastAsia="宋体" w:cs="宋体"/>
                <w:color w:val="auto"/>
                <w:sz w:val="24"/>
                <w:szCs w:val="24"/>
                <w:highlight w:val="none"/>
                <w:lang w:val="en-US" w:eastAsia="zh-CN"/>
              </w:rPr>
            </w:pPr>
          </w:p>
        </w:tc>
      </w:tr>
      <w:tr w14:paraId="4BAE6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384" w:type="pct"/>
            <w:noWrap w:val="0"/>
            <w:vAlign w:val="center"/>
          </w:tcPr>
          <w:p w14:paraId="37130DF4">
            <w:pPr>
              <w:spacing w:line="360" w:lineRule="auto"/>
              <w:ind w:left="73" w:right="10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949" w:type="pct"/>
            <w:tcBorders>
              <w:right w:val="single" w:color="auto" w:sz="4" w:space="0"/>
            </w:tcBorders>
            <w:noWrap w:val="0"/>
            <w:vAlign w:val="center"/>
          </w:tcPr>
          <w:p w14:paraId="55F68D82">
            <w:pPr>
              <w:spacing w:line="360" w:lineRule="auto"/>
              <w:ind w:left="73" w:right="9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质保期满后的维保成本</w:t>
            </w:r>
          </w:p>
        </w:tc>
        <w:tc>
          <w:tcPr>
            <w:tcW w:w="3248" w:type="pct"/>
            <w:tcBorders>
              <w:right w:val="single" w:color="auto" w:sz="4" w:space="0"/>
            </w:tcBorders>
            <w:noWrap w:val="0"/>
            <w:vAlign w:val="center"/>
          </w:tcPr>
          <w:p w14:paraId="7A5D49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评委根据供应商编制的产品质保期后维护保养成本进行评审：</w:t>
            </w:r>
          </w:p>
          <w:p w14:paraId="23414D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维保成本分析全面、性价比高、解决方案可行得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47D715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维修成本分析较全面、性价比较高、解决方案较可行得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4E8D3C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维修成本分析基本全面、性价比一般、解决方案基本可行得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3B204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成本分析全面性差、性价比差、解决方案可行性差得1分；</w:t>
            </w:r>
          </w:p>
          <w:p w14:paraId="55C6143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未编制维保成本分析和解决方案的得0分。</w:t>
            </w:r>
          </w:p>
        </w:tc>
        <w:tc>
          <w:tcPr>
            <w:tcW w:w="417" w:type="pct"/>
            <w:tcBorders>
              <w:left w:val="single" w:color="auto" w:sz="4" w:space="0"/>
            </w:tcBorders>
            <w:noWrap w:val="0"/>
            <w:vAlign w:val="center"/>
          </w:tcPr>
          <w:p w14:paraId="0D307F0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r>
    </w:tbl>
    <w:p w14:paraId="3320B4D1">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auto"/>
          <w:sz w:val="24"/>
          <w:szCs w:val="24"/>
          <w:highlight w:val="none"/>
        </w:rPr>
        <w:t>评委依据磋商文件载明的方法评分，评分四舍五入精确到小数点后两位。</w:t>
      </w:r>
    </w:p>
    <w:p w14:paraId="37C42353">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2、</w:t>
      </w:r>
      <w:r>
        <w:rPr>
          <w:rFonts w:hint="eastAsia" w:ascii="Times New Roman" w:hAnsi="Times New Roman" w:eastAsia="宋体" w:cs="宋体"/>
          <w:color w:val="auto"/>
          <w:sz w:val="24"/>
          <w:szCs w:val="24"/>
          <w:highlight w:val="none"/>
        </w:rPr>
        <w:t>响应供应商按照</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评分标准表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中的打分要求及顺序提供相关材料，</w:t>
      </w:r>
      <w:r>
        <w:rPr>
          <w:rFonts w:hint="eastAsia" w:ascii="Times New Roman" w:hAnsi="Times New Roman" w:eastAsia="宋体" w:cs="宋体"/>
          <w:bCs/>
          <w:color w:val="auto"/>
          <w:kern w:val="0"/>
          <w:sz w:val="24"/>
          <w:szCs w:val="24"/>
          <w:highlight w:val="none"/>
        </w:rPr>
        <w:t>并请编制目录及页码，以最大限度的避免造成评委误判或漏判。</w:t>
      </w:r>
    </w:p>
    <w:p w14:paraId="1D0B70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bCs/>
          <w:color w:val="auto"/>
          <w:kern w:val="0"/>
          <w:sz w:val="24"/>
          <w:szCs w:val="24"/>
          <w:highlight w:val="none"/>
          <w:lang w:val="en-US" w:eastAsia="zh-CN"/>
        </w:rPr>
        <w:t>3</w:t>
      </w:r>
      <w:r>
        <w:rPr>
          <w:rFonts w:hint="eastAsia" w:ascii="Times New Roman" w:hAnsi="Times New Roman" w:eastAsia="宋体" w:cs="宋体"/>
          <w:bCs/>
          <w:color w:val="auto"/>
          <w:kern w:val="0"/>
          <w:sz w:val="24"/>
          <w:szCs w:val="24"/>
          <w:highlight w:val="none"/>
          <w:lang w:eastAsia="zh-CN"/>
        </w:rPr>
        <w:t>、</w:t>
      </w:r>
      <w:r>
        <w:rPr>
          <w:rFonts w:hint="eastAsia" w:ascii="Times New Roman" w:hAnsi="Times New Roman" w:eastAsia="宋体" w:cs="宋体"/>
          <w:b/>
          <w:color w:val="auto"/>
          <w:sz w:val="24"/>
          <w:szCs w:val="24"/>
          <w:highlight w:val="none"/>
        </w:rPr>
        <w:t>以上证明材料提供原件复印件，复印件不清晰或关键内容无法辨识所引起的后果由响应供应商自行承担。</w:t>
      </w:r>
    </w:p>
    <w:p w14:paraId="5A1E0713">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（二）</w:t>
      </w:r>
      <w:r>
        <w:rPr>
          <w:rFonts w:hint="eastAsia" w:ascii="Times New Roman" w:hAnsi="Times New Roman" w:eastAsia="宋体" w:cs="宋体"/>
          <w:b/>
          <w:bCs/>
          <w:color w:val="auto"/>
          <w:szCs w:val="24"/>
          <w:highlight w:val="none"/>
          <w:shd w:val="clear" w:color="auto" w:fill="FFFFFF"/>
          <w:lang w:val="zh-CN"/>
        </w:rPr>
        <w:t>价格分</w:t>
      </w:r>
      <w:r>
        <w:rPr>
          <w:rFonts w:hint="eastAsia" w:ascii="Times New Roman" w:hAnsi="Times New Roman" w:eastAsia="宋体" w:cs="宋体"/>
          <w:b/>
          <w:bCs/>
          <w:color w:val="auto"/>
          <w:szCs w:val="24"/>
          <w:highlight w:val="none"/>
          <w:shd w:val="clear" w:color="auto" w:fill="FFFFFF"/>
        </w:rPr>
        <w:t>：</w:t>
      </w:r>
      <w:r>
        <w:rPr>
          <w:rFonts w:hint="eastAsia" w:ascii="Times New Roman" w:hAnsi="Times New Roman" w:cs="宋体"/>
          <w:b/>
          <w:bCs/>
          <w:color w:val="auto"/>
          <w:szCs w:val="24"/>
          <w:highlight w:val="none"/>
          <w:shd w:val="clear" w:color="auto" w:fill="FFFFFF"/>
          <w:lang w:val="en-US" w:eastAsia="zh-CN"/>
        </w:rPr>
        <w:t>40</w:t>
      </w:r>
      <w:r>
        <w:rPr>
          <w:rFonts w:hint="eastAsia" w:ascii="Times New Roman" w:hAnsi="Times New Roman" w:eastAsia="宋体" w:cs="宋体"/>
          <w:b/>
          <w:bCs/>
          <w:color w:val="auto"/>
          <w:szCs w:val="24"/>
          <w:highlight w:val="none"/>
          <w:shd w:val="clear" w:color="auto" w:fill="FFFFFF"/>
        </w:rPr>
        <w:t>分</w:t>
      </w:r>
    </w:p>
    <w:p w14:paraId="245A5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价格分统一采用低价优先法计算，即满足磋商文件要求且最后报价最低的供应商的价格为磋商基准价，其价格分为满分。其他供应商的价格分统一按照下列公式计算：</w:t>
      </w:r>
    </w:p>
    <w:p w14:paraId="76BF07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磋商报价得分=（磋商基准价/最后磋商报价）×</w:t>
      </w:r>
      <w:r>
        <w:rPr>
          <w:rFonts w:hint="eastAsia" w:ascii="Times New Roman" w:hAnsi="Times New Roman" w:eastAsia="宋体" w:cs="宋体"/>
          <w:color w:val="auto"/>
          <w:sz w:val="24"/>
          <w:szCs w:val="24"/>
          <w:highlight w:val="none"/>
          <w:lang w:val="en-US" w:eastAsia="zh-CN"/>
        </w:rPr>
        <w:t>40</w:t>
      </w:r>
      <w:r>
        <w:rPr>
          <w:rFonts w:hint="eastAsia" w:ascii="Times New Roman" w:hAnsi="Times New Roman" w:eastAsia="宋体" w:cs="宋体"/>
          <w:color w:val="auto"/>
          <w:sz w:val="24"/>
          <w:szCs w:val="24"/>
          <w:highlight w:val="none"/>
        </w:rPr>
        <w:t>%×100。</w:t>
      </w:r>
    </w:p>
    <w:p w14:paraId="24683563">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如评标委员会认为</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人</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价格严重偏离市场价，将取消</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人价格分得分。</w:t>
      </w:r>
    </w:p>
    <w:p w14:paraId="73B8BDCD">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五、出现下列情形之一的，作无效标处理</w:t>
      </w:r>
    </w:p>
    <w:p w14:paraId="7D9A84F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1、响应文件未按规定要求密封、签署、盖章及主要资料不齐全的；</w:t>
      </w:r>
    </w:p>
    <w:p w14:paraId="16FF7D5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2、响应文件的资料有虚报或者谎报的；</w:t>
      </w:r>
    </w:p>
    <w:p w14:paraId="491C1A2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3、响应文件中资格审查文件及技术响应文件出现磋商报价的内容；</w:t>
      </w:r>
    </w:p>
    <w:p w14:paraId="6BBBF42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4、不具备磋商文件规定的资格要求的；</w:t>
      </w:r>
    </w:p>
    <w:p w14:paraId="4A3157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5、响应文件有重大漏项或重大不合理的；</w:t>
      </w:r>
    </w:p>
    <w:p w14:paraId="7F36F42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6、项目技术、方案不满足项目需求中的要求，有重大偏离或保留的；</w:t>
      </w:r>
    </w:p>
    <w:p w14:paraId="1C44816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7、磋商响应报价超出项目预算的；</w:t>
      </w:r>
    </w:p>
    <w:p w14:paraId="7A045F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8、被认定为低于成本报价磋商竞标的；</w:t>
      </w:r>
    </w:p>
    <w:p w14:paraId="0AF129C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9</w:t>
      </w:r>
      <w:r>
        <w:rPr>
          <w:rFonts w:hint="eastAsia" w:ascii="Times New Roman" w:hAnsi="Times New Roman" w:eastAsia="宋体" w:cs="宋体"/>
          <w:color w:val="auto"/>
          <w:sz w:val="24"/>
          <w:szCs w:val="24"/>
          <w:highlight w:val="none"/>
        </w:rPr>
        <w:t>、不符合法律、法规和磋商文件中规定的其他实质性响应要求的；</w:t>
      </w:r>
    </w:p>
    <w:p w14:paraId="6E7BCF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10</w:t>
      </w:r>
      <w:r>
        <w:rPr>
          <w:rFonts w:hint="eastAsia" w:ascii="Times New Roman" w:hAnsi="Times New Roman" w:eastAsia="宋体" w:cs="宋体"/>
          <w:color w:val="auto"/>
          <w:sz w:val="24"/>
          <w:szCs w:val="24"/>
          <w:highlight w:val="none"/>
        </w:rPr>
        <w:t>、磋商小组依据法律法规可以认定为无效投标的其他情况；</w:t>
      </w:r>
    </w:p>
    <w:p w14:paraId="3A4ADD1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11</w:t>
      </w:r>
      <w:r>
        <w:rPr>
          <w:rFonts w:hint="eastAsia" w:ascii="Times New Roman" w:hAnsi="Times New Roman" w:eastAsia="宋体" w:cs="宋体"/>
          <w:color w:val="auto"/>
          <w:sz w:val="24"/>
          <w:szCs w:val="24"/>
          <w:highlight w:val="none"/>
        </w:rPr>
        <w:t>、未按要求提供样品的（如有）。</w:t>
      </w:r>
    </w:p>
    <w:p w14:paraId="36318B7E">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六、出现下列情形之一的，作废标处理</w:t>
      </w:r>
    </w:p>
    <w:p w14:paraId="3ECB86C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1、供应商的报价均超出了采购预算，采购单位不能支付的；</w:t>
      </w:r>
    </w:p>
    <w:p w14:paraId="53B9483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2、因情况变化，不再符合规定的竞争性磋商采购人式所适用情形的；</w:t>
      </w:r>
    </w:p>
    <w:p w14:paraId="131421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3、出现影响采购公正的违法、违规行为的；</w:t>
      </w:r>
    </w:p>
    <w:p w14:paraId="55BAF17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4、因重大变故，采购任务取消的；</w:t>
      </w:r>
    </w:p>
    <w:p w14:paraId="120E179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5、供应商未按采购文件要求提供样品或样品提供不全的或未提供样品的（如有）；</w:t>
      </w:r>
    </w:p>
    <w:p w14:paraId="6EF56F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6、磋商小组依据法律法规可以认定为废标的其他情况。</w:t>
      </w:r>
    </w:p>
    <w:p w14:paraId="40BC6075">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七、成交通知</w:t>
      </w:r>
    </w:p>
    <w:p w14:paraId="2E7DC26F">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kern w:val="0"/>
          <w:sz w:val="24"/>
          <w:szCs w:val="24"/>
          <w:highlight w:val="none"/>
        </w:rPr>
        <w:t>成交结果在南通市第三人民医院官网公示</w:t>
      </w:r>
      <w:r>
        <w:rPr>
          <w:rFonts w:hint="eastAsia" w:ascii="Times New Roman" w:hAnsi="Times New Roman" w:eastAsia="宋体" w:cs="宋体"/>
          <w:b/>
          <w:color w:val="auto"/>
          <w:kern w:val="0"/>
          <w:sz w:val="24"/>
          <w:szCs w:val="24"/>
          <w:highlight w:val="none"/>
          <w:u w:val="single"/>
        </w:rPr>
        <w:t>1</w:t>
      </w:r>
      <w:r>
        <w:rPr>
          <w:rFonts w:hint="eastAsia" w:ascii="Times New Roman" w:hAnsi="Times New Roman" w:eastAsia="宋体" w:cs="宋体"/>
          <w:color w:val="auto"/>
          <w:kern w:val="0"/>
          <w:sz w:val="24"/>
          <w:szCs w:val="24"/>
          <w:highlight w:val="none"/>
        </w:rPr>
        <w:t>个工作日。《成交通知书》一经发出，采购单位改变成交结果，或者成交人放弃成交的，各自承担相应的法律责任。《成交通知书》是采购合同的组成部分。</w:t>
      </w:r>
    </w:p>
    <w:p w14:paraId="6DAB3614">
      <w:pPr>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br w:type="page"/>
      </w:r>
    </w:p>
    <w:p w14:paraId="2F8BD58D">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第五章 合同授予</w:t>
      </w:r>
    </w:p>
    <w:p w14:paraId="1BDD6E4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8"/>
          <w:szCs w:val="28"/>
          <w:highlight w:val="none"/>
        </w:rPr>
      </w:pPr>
      <w:r>
        <w:rPr>
          <w:rFonts w:hint="eastAsia" w:ascii="Times New Roman" w:hAnsi="Times New Roman" w:eastAsia="宋体" w:cs="宋体"/>
          <w:color w:val="auto"/>
          <w:sz w:val="24"/>
          <w:highlight w:val="none"/>
        </w:rPr>
        <w:t>一、</w:t>
      </w:r>
      <w:r>
        <w:rPr>
          <w:rFonts w:hint="eastAsia" w:ascii="Times New Roman" w:hAnsi="Times New Roman" w:eastAsia="宋体" w:cs="宋体"/>
          <w:color w:val="auto"/>
          <w:kern w:val="0"/>
          <w:sz w:val="24"/>
          <w:highlight w:val="none"/>
        </w:rPr>
        <w:t>成交供应商在《成交通知书》发出</w:t>
      </w:r>
      <w:r>
        <w:rPr>
          <w:rFonts w:hint="eastAsia" w:ascii="Times New Roman" w:hAnsi="Times New Roman" w:eastAsia="宋体" w:cs="宋体"/>
          <w:color w:val="auto"/>
          <w:kern w:val="0"/>
          <w:sz w:val="24"/>
          <w:highlight w:val="none"/>
          <w:lang w:eastAsia="zh-CN"/>
        </w:rPr>
        <w:t>后</w:t>
      </w:r>
      <w:r>
        <w:rPr>
          <w:rFonts w:hint="eastAsia" w:ascii="Times New Roman" w:hAnsi="Times New Roman" w:eastAsia="宋体" w:cs="宋体"/>
          <w:b w:val="0"/>
          <w:bCs w:val="0"/>
          <w:color w:val="auto"/>
          <w:kern w:val="0"/>
          <w:sz w:val="24"/>
          <w:highlight w:val="none"/>
          <w:lang w:val="en-US" w:eastAsia="zh-CN"/>
        </w:rPr>
        <w:t>15日</w:t>
      </w:r>
      <w:r>
        <w:rPr>
          <w:rFonts w:hint="eastAsia" w:ascii="Times New Roman" w:hAnsi="Times New Roman" w:eastAsia="宋体" w:cs="宋体"/>
          <w:b w:val="0"/>
          <w:bCs w:val="0"/>
          <w:color w:val="auto"/>
          <w:kern w:val="0"/>
          <w:sz w:val="24"/>
          <w:highlight w:val="none"/>
        </w:rPr>
        <w:t>内须按</w:t>
      </w:r>
      <w:r>
        <w:rPr>
          <w:rFonts w:hint="eastAsia" w:ascii="Times New Roman" w:hAnsi="Times New Roman" w:eastAsia="宋体" w:cs="宋体"/>
          <w:color w:val="auto"/>
          <w:kern w:val="0"/>
          <w:sz w:val="24"/>
          <w:highlight w:val="none"/>
        </w:rPr>
        <w:t>照磋商文件确定的事项签订采购合同。合同一式四份，采购</w:t>
      </w:r>
      <w:r>
        <w:rPr>
          <w:rFonts w:hint="eastAsia" w:ascii="Times New Roman" w:hAnsi="Times New Roman" w:eastAsia="宋体" w:cs="宋体"/>
          <w:color w:val="auto"/>
          <w:kern w:val="0"/>
          <w:sz w:val="24"/>
          <w:szCs w:val="24"/>
          <w:highlight w:val="none"/>
        </w:rPr>
        <w:t>单位</w:t>
      </w:r>
      <w:r>
        <w:rPr>
          <w:rFonts w:hint="eastAsia" w:ascii="Times New Roman" w:hAnsi="Times New Roman" w:eastAsia="宋体" w:cs="宋体"/>
          <w:color w:val="auto"/>
          <w:kern w:val="0"/>
          <w:sz w:val="24"/>
          <w:highlight w:val="none"/>
        </w:rPr>
        <w:t xml:space="preserve">三份、供应商一份。所签合同不得对磋商文件作实质性修改。采购单位不得向成交供应商提出不合理的要求作为签订合同的条件，不得与成交供应商私下订立背离磋商文件实质性内容的协议。 </w:t>
      </w:r>
    </w:p>
    <w:p w14:paraId="5199913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二、</w:t>
      </w:r>
      <w:r>
        <w:rPr>
          <w:rFonts w:hint="eastAsia" w:ascii="Times New Roman" w:hAnsi="Times New Roman" w:eastAsia="宋体" w:cs="宋体"/>
          <w:color w:val="auto"/>
          <w:sz w:val="24"/>
          <w:highlight w:val="none"/>
        </w:rPr>
        <w:t>采购单位按合同约定积极配合成交供应商履约，成交供应商履约到位后，请以书面形式向采购单位提出验收申请。</w:t>
      </w:r>
    </w:p>
    <w:p w14:paraId="0E6273A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三、采购单位故意推迟</w:t>
      </w:r>
      <w:r>
        <w:rPr>
          <w:rFonts w:hint="eastAsia" w:ascii="Times New Roman" w:hAnsi="Times New Roman" w:eastAsia="宋体" w:cs="宋体"/>
          <w:color w:val="auto"/>
          <w:kern w:val="0"/>
          <w:sz w:val="24"/>
          <w:szCs w:val="24"/>
          <w:highlight w:val="none"/>
        </w:rPr>
        <w:t>项目</w:t>
      </w:r>
      <w:r>
        <w:rPr>
          <w:rFonts w:hint="eastAsia" w:ascii="Times New Roman" w:hAnsi="Times New Roman" w:eastAsia="宋体" w:cs="宋体"/>
          <w:color w:val="auto"/>
          <w:sz w:val="24"/>
          <w:highlight w:val="none"/>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3E11C22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四、供应商出现违约情形，应当及时纠正或补偿；造成损失的，按合同约定追究违约责任；发现有假冒、伪劣、走私产品、商业贿赂等违法情形的，应由采购单位移交工商、质监、公安等行政执法部门依法查处。</w:t>
      </w:r>
    </w:p>
    <w:p w14:paraId="3BE0838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五、不响应付款方式的，视同响应文件无效，按无效响应文件处理。</w:t>
      </w:r>
    </w:p>
    <w:p w14:paraId="49FAB9DA">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六、付款方式详见</w:t>
      </w:r>
      <w:r>
        <w:rPr>
          <w:rFonts w:hint="eastAsia" w:ascii="Times New Roman" w:hAnsi="Times New Roman" w:eastAsia="宋体" w:cs="宋体"/>
          <w:color w:val="auto"/>
          <w:kern w:val="0"/>
          <w:sz w:val="24"/>
          <w:highlight w:val="none"/>
        </w:rPr>
        <w:t>磋商</w:t>
      </w:r>
      <w:r>
        <w:rPr>
          <w:rFonts w:hint="eastAsia" w:ascii="Times New Roman" w:hAnsi="Times New Roman" w:eastAsia="宋体" w:cs="宋体"/>
          <w:color w:val="auto"/>
          <w:sz w:val="24"/>
          <w:highlight w:val="none"/>
        </w:rPr>
        <w:t>文件第三章。</w:t>
      </w:r>
    </w:p>
    <w:p w14:paraId="0A34851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
          <w:iCs/>
          <w:color w:val="auto"/>
          <w:w w:val="80"/>
          <w:sz w:val="44"/>
          <w:szCs w:val="44"/>
          <w:highlight w:val="none"/>
        </w:rPr>
      </w:pPr>
      <w:r>
        <w:rPr>
          <w:rFonts w:hint="eastAsia" w:ascii="Times New Roman" w:hAnsi="Times New Roman" w:eastAsia="宋体" w:cs="宋体"/>
          <w:color w:val="auto"/>
          <w:sz w:val="24"/>
          <w:highlight w:val="none"/>
        </w:rPr>
        <w:t>七、以上项目款的支付不计息。</w:t>
      </w:r>
    </w:p>
    <w:p w14:paraId="041D2EF8">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w w:val="80"/>
          <w:kern w:val="44"/>
          <w:highlight w:val="none"/>
        </w:rPr>
      </w:pPr>
    </w:p>
    <w:p w14:paraId="02B06A59">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color w:val="auto"/>
          <w:w w:val="80"/>
          <w:kern w:val="44"/>
          <w:sz w:val="48"/>
          <w:szCs w:val="44"/>
          <w:highlight w:val="none"/>
        </w:rPr>
      </w:pPr>
      <w:r>
        <w:rPr>
          <w:rFonts w:ascii="Times New Roman" w:hAnsi="Times New Roman" w:eastAsia="宋体" w:cs="宋体"/>
          <w:color w:val="auto"/>
          <w:w w:val="80"/>
          <w:sz w:val="48"/>
          <w:szCs w:val="44"/>
          <w:highlight w:val="none"/>
        </w:rPr>
        <w:br w:type="page"/>
      </w:r>
    </w:p>
    <w:p w14:paraId="1F2F9180">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第六章 质疑提出和处理</w:t>
      </w:r>
    </w:p>
    <w:p w14:paraId="3A85BE21">
      <w:pPr>
        <w:keepNext w:val="0"/>
        <w:keepLines w:val="0"/>
        <w:pageBreakBefore w:val="0"/>
        <w:wordWrap/>
        <w:bidi w:val="0"/>
        <w:adjustRightInd w:val="0"/>
        <w:snapToGrid w:val="0"/>
        <w:spacing w:line="360" w:lineRule="auto"/>
        <w:ind w:firstLine="487" w:firstLineChars="202"/>
        <w:rPr>
          <w:rFonts w:ascii="Times New Roman" w:hAnsi="Times New Roman"/>
          <w:b/>
          <w:color w:val="auto"/>
          <w:sz w:val="24"/>
          <w:szCs w:val="24"/>
          <w:highlight w:val="none"/>
        </w:rPr>
      </w:pPr>
      <w:r>
        <w:rPr>
          <w:rFonts w:ascii="Times New Roman" w:hAnsi="Times New Roman"/>
          <w:b/>
          <w:color w:val="auto"/>
          <w:sz w:val="24"/>
          <w:szCs w:val="24"/>
          <w:highlight w:val="none"/>
        </w:rPr>
        <w:t>一、质疑的提出</w:t>
      </w:r>
    </w:p>
    <w:p w14:paraId="37D7A45C">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1、提出质疑的供应商应当是参与所质疑项目采购活动的供应商。潜在供应商依法获取其可质疑的采购文件的，可以对采购文件提出质疑。</w:t>
      </w:r>
    </w:p>
    <w:p w14:paraId="6EDCFC04">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2、供应商认为采购文件、采购过程和采购结果使自己的权益受到损害的，可以在知道或应知其权益受到损害之日起七个工作日内，以书面形式向采购人提出质疑。上述应知其权益受到损害之日，是指：</w:t>
      </w:r>
    </w:p>
    <w:p w14:paraId="37ED6BF3">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2.1对可以质疑的采购文件提出质疑的，为收到采购文件之日或者采购文件公告期限届满之日；</w:t>
      </w:r>
    </w:p>
    <w:p w14:paraId="72C3CBAF">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2.2对采购过程提出质疑的，为各采购程序环节结束之日；</w:t>
      </w:r>
    </w:p>
    <w:p w14:paraId="36F94F60">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2.3对成交结果提出质疑的，为成交结果公告期限届满之日。</w:t>
      </w:r>
    </w:p>
    <w:p w14:paraId="3365F3AA">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供应商应当在法定质疑期内一次性提出针对同一采购程序环节的质疑。</w:t>
      </w:r>
    </w:p>
    <w:p w14:paraId="3FD439BD">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3、质疑函必须按照本</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文件中《质疑函范本》要求的格式和内容进行填写。供应商如组成联合体参加采购活动，则《质疑函范本》中要求签字、盖章、加盖公章之处，联合体各方均须按要求签字、盖章、加盖公章。</w:t>
      </w:r>
    </w:p>
    <w:p w14:paraId="453DCEB2">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4、对采购方式、</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文件中项目需求、供应商资格条件、评审方法和评审标准、资格审查结果等应当由采购人答复的质疑，请向采购人提出，由采购人负责答复。</w:t>
      </w:r>
    </w:p>
    <w:p w14:paraId="7422B9E7">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采购人质疑接收人及联系方式，见</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文件第一章。</w:t>
      </w:r>
    </w:p>
    <w:p w14:paraId="0FDB4E5E">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 以下情形的质疑不予受理</w:t>
      </w:r>
    </w:p>
    <w:p w14:paraId="47503017">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5.1 内容不符合《政府采购质疑和投诉办法》财政部第94号令第十二条规定的质疑。</w:t>
      </w:r>
    </w:p>
    <w:p w14:paraId="5AB7AEB6">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5.2 超出政府采购法定期限的质疑。</w:t>
      </w:r>
    </w:p>
    <w:p w14:paraId="777BCE32">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5.3 未参加采购活动的供应商。</w:t>
      </w:r>
    </w:p>
    <w:p w14:paraId="4858754F">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5.4供应商组成联合体参加采购活动，联合体中任何一方或多方未按要求签字、盖章、加盖公章的质疑。</w:t>
      </w:r>
    </w:p>
    <w:p w14:paraId="027A3C29">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45E8716E">
      <w:pPr>
        <w:keepNext w:val="0"/>
        <w:keepLines w:val="0"/>
        <w:pageBreakBefore w:val="0"/>
        <w:wordWrap/>
        <w:bidi w:val="0"/>
        <w:spacing w:after="120" w:line="360" w:lineRule="auto"/>
        <w:rPr>
          <w:rFonts w:ascii="Times New Roman" w:hAnsi="Times New Roman"/>
          <w:color w:val="auto"/>
          <w:szCs w:val="21"/>
          <w:highlight w:val="none"/>
        </w:rPr>
      </w:pPr>
      <w:r>
        <w:rPr>
          <w:rFonts w:ascii="Times New Roman" w:hAnsi="Times New Roman"/>
          <w:color w:val="auto"/>
          <w:highlight w:val="none"/>
        </w:rPr>
        <w:br w:type="page"/>
      </w:r>
      <w:r>
        <w:rPr>
          <w:rFonts w:hint="eastAsia" w:ascii="Times New Roman" w:hAnsi="Times New Roman"/>
          <w:color w:val="auto"/>
          <w:szCs w:val="21"/>
          <w:highlight w:val="none"/>
        </w:rPr>
        <w:t>附件：</w:t>
      </w:r>
    </w:p>
    <w:p w14:paraId="18ED59F4">
      <w:pPr>
        <w:keepNext w:val="0"/>
        <w:keepLines w:val="0"/>
        <w:pageBreakBefore w:val="0"/>
        <w:wordWrap/>
        <w:bidi w:val="0"/>
        <w:spacing w:line="360" w:lineRule="auto"/>
        <w:jc w:val="center"/>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质疑函范本</w:t>
      </w:r>
    </w:p>
    <w:p w14:paraId="31FAEC42">
      <w:pPr>
        <w:keepNext w:val="0"/>
        <w:keepLines w:val="0"/>
        <w:pageBreakBefore w:val="0"/>
        <w:wordWrap/>
        <w:bidi w:val="0"/>
        <w:adjustRightInd w:val="0"/>
        <w:snapToGrid w:val="0"/>
        <w:spacing w:before="312" w:beforeLines="100"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一、质疑供应商基本信息</w:t>
      </w:r>
    </w:p>
    <w:p w14:paraId="3A2DA37C">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质疑供应商：</w:t>
      </w:r>
    </w:p>
    <w:p w14:paraId="059369A2">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地址：邮编：</w:t>
      </w:r>
    </w:p>
    <w:p w14:paraId="11573581">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联系人：联系电话：</w:t>
      </w:r>
    </w:p>
    <w:p w14:paraId="371C4B9A">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授权代表：</w:t>
      </w:r>
    </w:p>
    <w:p w14:paraId="5EFA906F">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联系电话：</w:t>
      </w:r>
    </w:p>
    <w:p w14:paraId="478705D9">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地址：邮编：</w:t>
      </w:r>
    </w:p>
    <w:p w14:paraId="2C73849D">
      <w:pPr>
        <w:keepNext w:val="0"/>
        <w:keepLines w:val="0"/>
        <w:pageBreakBefore w:val="0"/>
        <w:wordWrap/>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二、质疑项目基本情况</w:t>
      </w:r>
    </w:p>
    <w:p w14:paraId="6A4D34E7">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质疑项目的名称：</w:t>
      </w:r>
    </w:p>
    <w:p w14:paraId="12CC5AAD">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质疑项目的编号：包号：</w:t>
      </w:r>
    </w:p>
    <w:p w14:paraId="59742146">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采购人名称：</w:t>
      </w:r>
    </w:p>
    <w:p w14:paraId="57AD400D">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采购文件获取日期：</w:t>
      </w:r>
    </w:p>
    <w:p w14:paraId="2BA08E83">
      <w:pPr>
        <w:keepNext w:val="0"/>
        <w:keepLines w:val="0"/>
        <w:pageBreakBefore w:val="0"/>
        <w:wordWrap/>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三、质疑事项具体内容</w:t>
      </w:r>
    </w:p>
    <w:p w14:paraId="30F2DB2A">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质疑事项1：</w:t>
      </w:r>
    </w:p>
    <w:p w14:paraId="58F90407">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事实依据：</w:t>
      </w:r>
    </w:p>
    <w:p w14:paraId="7B6F2CBA">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p>
    <w:p w14:paraId="263F3E71">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法律依据：</w:t>
      </w:r>
    </w:p>
    <w:p w14:paraId="71A5AD78">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p>
    <w:p w14:paraId="4B168C3F">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质疑事项2</w:t>
      </w:r>
    </w:p>
    <w:p w14:paraId="1047AD0A">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w:t>
      </w:r>
    </w:p>
    <w:p w14:paraId="36028A73">
      <w:pPr>
        <w:keepNext w:val="0"/>
        <w:keepLines w:val="0"/>
        <w:pageBreakBefore w:val="0"/>
        <w:wordWrap/>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四、与质疑事项相关的质疑请求</w:t>
      </w:r>
    </w:p>
    <w:p w14:paraId="20C43FF3">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请求：</w:t>
      </w:r>
    </w:p>
    <w:p w14:paraId="27D8B1B5">
      <w:pPr>
        <w:keepNext w:val="0"/>
        <w:keepLines w:val="0"/>
        <w:pageBreakBefore w:val="0"/>
        <w:wordWrap/>
        <w:bidi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签字(签章)：                   公章：                      </w:t>
      </w:r>
    </w:p>
    <w:p w14:paraId="07BB7C65">
      <w:pPr>
        <w:keepNext w:val="0"/>
        <w:keepLines w:val="0"/>
        <w:pageBreakBefore w:val="0"/>
        <w:wordWrap/>
        <w:bidi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日期：    </w:t>
      </w:r>
    </w:p>
    <w:p w14:paraId="5A03D8E1">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p>
    <w:p w14:paraId="5BE312B0">
      <w:pPr>
        <w:keepNext w:val="0"/>
        <w:keepLines w:val="0"/>
        <w:pageBreakBefore w:val="0"/>
        <w:wordWrap/>
        <w:bidi w:val="0"/>
        <w:spacing w:line="360" w:lineRule="auto"/>
        <w:rPr>
          <w:rFonts w:ascii="Times New Roman" w:hAnsi="Times New Roman"/>
          <w:b/>
          <w:color w:val="auto"/>
          <w:sz w:val="24"/>
          <w:szCs w:val="24"/>
          <w:highlight w:val="none"/>
        </w:rPr>
      </w:pPr>
    </w:p>
    <w:p w14:paraId="7AB4BB50">
      <w:pPr>
        <w:keepNext w:val="0"/>
        <w:keepLines w:val="0"/>
        <w:pageBreakBefore w:val="0"/>
        <w:wordWrap/>
        <w:bidi w:val="0"/>
        <w:spacing w:line="360" w:lineRule="auto"/>
        <w:jc w:val="left"/>
        <w:rPr>
          <w:rFonts w:ascii="Times New Roman" w:hAnsi="Times New Roman"/>
          <w:b/>
          <w:color w:val="auto"/>
          <w:sz w:val="24"/>
          <w:szCs w:val="24"/>
          <w:highlight w:val="none"/>
        </w:rPr>
      </w:pPr>
      <w:r>
        <w:rPr>
          <w:rFonts w:ascii="Times New Roman" w:hAnsi="Times New Roman"/>
          <w:b/>
          <w:color w:val="auto"/>
          <w:sz w:val="24"/>
          <w:szCs w:val="24"/>
          <w:highlight w:val="none"/>
        </w:rPr>
        <w:br w:type="page"/>
      </w:r>
    </w:p>
    <w:p w14:paraId="50FCFBD3">
      <w:pPr>
        <w:keepNext w:val="0"/>
        <w:keepLines w:val="0"/>
        <w:pageBreakBefore w:val="0"/>
        <w:wordWrap/>
        <w:bidi w:val="0"/>
        <w:spacing w:line="360" w:lineRule="auto"/>
        <w:jc w:val="left"/>
        <w:rPr>
          <w:rFonts w:ascii="Times New Roman" w:hAnsi="Times New Roman"/>
          <w:b/>
          <w:color w:val="auto"/>
          <w:sz w:val="24"/>
          <w:szCs w:val="24"/>
          <w:highlight w:val="none"/>
        </w:rPr>
      </w:pPr>
      <w:r>
        <w:rPr>
          <w:rFonts w:hint="eastAsia" w:ascii="Times New Roman" w:hAnsi="Times New Roman"/>
          <w:b/>
          <w:color w:val="auto"/>
          <w:sz w:val="24"/>
          <w:szCs w:val="24"/>
          <w:highlight w:val="none"/>
        </w:rPr>
        <w:t>质疑函制作说明：</w:t>
      </w:r>
    </w:p>
    <w:p w14:paraId="501C55F3">
      <w:pPr>
        <w:keepNext w:val="0"/>
        <w:keepLines w:val="0"/>
        <w:pageBreakBefore w:val="0"/>
        <w:wordWrap/>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1、供应商提出质疑时，应提交质疑函和必要的证明材料。</w:t>
      </w:r>
    </w:p>
    <w:p w14:paraId="034555C5">
      <w:pPr>
        <w:keepNext w:val="0"/>
        <w:keepLines w:val="0"/>
        <w:pageBreakBefore w:val="0"/>
        <w:wordWrap/>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2、质疑供应商若委托代理人进行质疑的，质疑函应按要求列明“授权代表”的有关内容，并在附件中提交由质疑</w:t>
      </w:r>
      <w:r>
        <w:rPr>
          <w:rFonts w:hint="eastAsia" w:ascii="Times New Roman" w:hAnsi="Times New Roman" w:cs="宋体"/>
          <w:color w:val="auto"/>
          <w:kern w:val="0"/>
          <w:sz w:val="24"/>
          <w:szCs w:val="24"/>
          <w:highlight w:val="none"/>
        </w:rPr>
        <w:t>供应商签署的授权委托书。授权委托书应载明代理人的姓名或者名称、代理事项、具体权限、期限和相关事项。</w:t>
      </w:r>
    </w:p>
    <w:p w14:paraId="5417C015">
      <w:pPr>
        <w:keepNext w:val="0"/>
        <w:keepLines w:val="0"/>
        <w:pageBreakBefore w:val="0"/>
        <w:wordWrap/>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3、质疑供应商若对项目的某一分包进行质疑，质疑函中应列明具体分包号。</w:t>
      </w:r>
    </w:p>
    <w:p w14:paraId="7619B8C7">
      <w:pPr>
        <w:keepNext w:val="0"/>
        <w:keepLines w:val="0"/>
        <w:pageBreakBefore w:val="0"/>
        <w:wordWrap/>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4、质疑函的质疑事项应具体、明确，并有必要的事实依据和法律依据。</w:t>
      </w:r>
    </w:p>
    <w:p w14:paraId="07EB8184">
      <w:pPr>
        <w:keepNext w:val="0"/>
        <w:keepLines w:val="0"/>
        <w:pageBreakBefore w:val="0"/>
        <w:wordWrap/>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5、质疑函的质疑请求应与质疑事项相关。</w:t>
      </w:r>
    </w:p>
    <w:p w14:paraId="614145E0">
      <w:pPr>
        <w:keepNext w:val="0"/>
        <w:keepLines w:val="0"/>
        <w:pageBreakBefore w:val="0"/>
        <w:wordWrap/>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hint="eastAsia" w:ascii="Times New Roman" w:hAnsi="Times New Roman" w:cs="宋体"/>
          <w:color w:val="auto"/>
          <w:sz w:val="24"/>
          <w:szCs w:val="24"/>
          <w:highlight w:val="none"/>
        </w:rPr>
        <w:t>。</w:t>
      </w:r>
    </w:p>
    <w:p w14:paraId="10C18DFA">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br w:type="page"/>
      </w:r>
    </w:p>
    <w:p w14:paraId="5C7EB916">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第七章 响应文件组成及格式</w:t>
      </w:r>
    </w:p>
    <w:p w14:paraId="12373B11">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响应文件由资格审查文件、技术响应文件、商务报价响应文件三部分组成。本次竞争性磋商采用资格后审方式，供应商须将资格审查文件作为响应文件组成部分，按磋商文件要求装订密封后一起递交。</w:t>
      </w:r>
    </w:p>
    <w:p w14:paraId="45F8B46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kern w:val="0"/>
          <w:sz w:val="24"/>
          <w:highlight w:val="none"/>
          <w:lang w:val="zh-CN"/>
        </w:rPr>
      </w:pPr>
      <w:r>
        <w:rPr>
          <w:rFonts w:hint="eastAsia" w:ascii="Times New Roman" w:hAnsi="Times New Roman" w:eastAsia="宋体" w:cs="宋体"/>
          <w:b/>
          <w:bCs/>
          <w:color w:val="auto"/>
          <w:kern w:val="0"/>
          <w:sz w:val="24"/>
          <w:highlight w:val="none"/>
          <w:lang w:val="zh-CN"/>
        </w:rPr>
        <w:t>一、资格审查文件（单独密封）：</w:t>
      </w:r>
    </w:p>
    <w:p w14:paraId="4B081E8D">
      <w:pPr>
        <w:spacing w:line="360" w:lineRule="auto"/>
        <w:ind w:firstLine="480" w:firstLineChars="200"/>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1、</w:t>
      </w:r>
      <w:r>
        <w:rPr>
          <w:rFonts w:hint="eastAsia" w:ascii="Times New Roman" w:hAnsi="Times New Roman" w:eastAsia="宋体"/>
          <w:bCs/>
          <w:color w:val="auto"/>
          <w:sz w:val="24"/>
          <w:szCs w:val="24"/>
          <w:highlight w:val="none"/>
        </w:rPr>
        <w:t>供应商须具有独立法人资格，具有有效的三证合一的营业执照（或事业单位法人证书）</w:t>
      </w:r>
      <w:r>
        <w:rPr>
          <w:rFonts w:hint="eastAsia" w:ascii="Times New Roman" w:hAnsi="Times New Roman" w:eastAsia="宋体"/>
          <w:bCs/>
          <w:color w:val="auto"/>
          <w:sz w:val="24"/>
          <w:szCs w:val="24"/>
          <w:highlight w:val="none"/>
          <w:lang w:eastAsia="zh-CN"/>
        </w:rPr>
        <w:t>复印件并加盖公章</w:t>
      </w:r>
      <w:r>
        <w:rPr>
          <w:rFonts w:hint="eastAsia" w:ascii="Times New Roman" w:hAnsi="Times New Roman" w:eastAsia="宋体"/>
          <w:color w:val="auto"/>
          <w:sz w:val="24"/>
          <w:szCs w:val="24"/>
          <w:highlight w:val="none"/>
          <w:lang w:eastAsia="zh-CN"/>
        </w:rPr>
        <w:t>；</w:t>
      </w:r>
    </w:p>
    <w:p w14:paraId="63547708">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2、法定代表人参加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的，必须提供法定代表人身份证明及法定代表人本人身份证两项复印件（须加盖单位公章）；非法定代表人参加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的，必须提供法定代表人签字或印章的授权委托书及被授权人本人身份证两项复印件；（须加盖单位公章）</w:t>
      </w:r>
      <w:r>
        <w:rPr>
          <w:rFonts w:hint="eastAsia" w:ascii="Times New Roman" w:hAnsi="Times New Roman" w:eastAsia="宋体"/>
          <w:color w:val="auto"/>
          <w:sz w:val="24"/>
          <w:szCs w:val="24"/>
          <w:highlight w:val="none"/>
          <w:lang w:eastAsia="zh-CN"/>
        </w:rPr>
        <w:t>；</w:t>
      </w:r>
    </w:p>
    <w:p w14:paraId="31CC6D80">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3、提供供应商符合《中华人民共和国政府采购法》第二十二条规定条件的声明函。</w:t>
      </w:r>
    </w:p>
    <w:p w14:paraId="3D2AF66D">
      <w:pPr>
        <w:spacing w:line="360" w:lineRule="auto"/>
        <w:ind w:firstLine="480" w:firstLineChars="20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4、供应商须提供诚信承诺书（</w:t>
      </w:r>
      <w:r>
        <w:rPr>
          <w:rFonts w:hint="eastAsia" w:ascii="Times New Roman" w:hAnsi="Times New Roman" w:cs="宋体"/>
          <w:color w:val="auto"/>
          <w:sz w:val="24"/>
          <w:szCs w:val="24"/>
          <w:highlight w:val="none"/>
        </w:rPr>
        <w:t>格式参见附件）；</w:t>
      </w:r>
    </w:p>
    <w:p w14:paraId="6C8F0927">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rPr>
        <w:t>现场踏勘确认函（必须经采购方签字或盖章，否则作无效响应处理）</w:t>
      </w:r>
    </w:p>
    <w:p w14:paraId="5D10AC2E">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6、</w:t>
      </w:r>
      <w:r>
        <w:rPr>
          <w:rFonts w:hint="eastAsia" w:ascii="Times New Roman" w:hAnsi="Times New Roman" w:eastAsia="宋体"/>
          <w:color w:val="auto"/>
          <w:sz w:val="24"/>
          <w:szCs w:val="24"/>
          <w:highlight w:val="none"/>
        </w:rPr>
        <w:t>其它需要提交的资格审查证明材料。</w:t>
      </w:r>
    </w:p>
    <w:p w14:paraId="3EC6E51E">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以上材料如为复印件均需加盖投标单位公章。</w:t>
      </w:r>
    </w:p>
    <w:p w14:paraId="1B659E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bCs/>
          <w:color w:val="auto"/>
          <w:sz w:val="24"/>
          <w:szCs w:val="24"/>
          <w:highlight w:val="none"/>
        </w:rPr>
      </w:pPr>
      <w:r>
        <w:rPr>
          <w:rFonts w:hint="eastAsia" w:ascii="Times New Roman" w:hAnsi="Times New Roman" w:eastAsia="宋体"/>
          <w:b/>
          <w:bCs/>
          <w:color w:val="auto"/>
          <w:sz w:val="24"/>
          <w:szCs w:val="24"/>
          <w:highlight w:val="none"/>
        </w:rPr>
        <w:t>二、技术响应文件（单独密封）：</w:t>
      </w:r>
    </w:p>
    <w:p w14:paraId="040FBD7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rPr>
        <w:t>1、</w:t>
      </w:r>
      <w:r>
        <w:rPr>
          <w:rFonts w:hint="eastAsia" w:ascii="Times New Roman" w:hAnsi="Times New Roman" w:eastAsia="宋体" w:cs="宋体"/>
          <w:color w:val="auto"/>
          <w:sz w:val="24"/>
          <w:szCs w:val="24"/>
          <w:highlight w:val="none"/>
        </w:rPr>
        <w:t>磋商</w:t>
      </w:r>
      <w:r>
        <w:rPr>
          <w:rFonts w:ascii="Times New Roman" w:hAnsi="Times New Roman" w:eastAsia="宋体" w:cs="宋体"/>
          <w:color w:val="auto"/>
          <w:sz w:val="24"/>
          <w:szCs w:val="24"/>
          <w:highlight w:val="none"/>
        </w:rPr>
        <w:t>响应函（格式参见第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p>
    <w:p w14:paraId="56119F8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lang w:val="en-US" w:eastAsia="zh-CN"/>
        </w:rPr>
        <w:t>2、供应商一般情况表</w:t>
      </w:r>
      <w:r>
        <w:rPr>
          <w:rFonts w:ascii="Times New Roman" w:hAnsi="Times New Roman" w:eastAsia="宋体" w:cs="宋体"/>
          <w:color w:val="auto"/>
          <w:sz w:val="24"/>
          <w:szCs w:val="24"/>
          <w:highlight w:val="none"/>
        </w:rPr>
        <w:t>（格式参见第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p>
    <w:p w14:paraId="4FBAAF27">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3、</w:t>
      </w:r>
      <w:r>
        <w:rPr>
          <w:rFonts w:hint="eastAsia" w:ascii="Times New Roman" w:hAnsi="Times New Roman" w:eastAsia="宋体" w:cs="宋体"/>
          <w:bCs/>
          <w:color w:val="auto"/>
          <w:sz w:val="24"/>
          <w:szCs w:val="24"/>
          <w:highlight w:val="none"/>
          <w:lang w:eastAsia="zh-CN"/>
        </w:rPr>
        <w:t>技术</w:t>
      </w:r>
      <w:r>
        <w:rPr>
          <w:rFonts w:hint="eastAsia" w:ascii="Times New Roman" w:hAnsi="Times New Roman" w:eastAsia="宋体" w:cs="宋体"/>
          <w:bCs/>
          <w:color w:val="auto"/>
          <w:sz w:val="24"/>
          <w:szCs w:val="24"/>
          <w:highlight w:val="none"/>
        </w:rPr>
        <w:t>部分正负偏离表（格式参见第</w:t>
      </w:r>
      <w:r>
        <w:rPr>
          <w:rFonts w:hint="eastAsia" w:ascii="Times New Roman" w:hAnsi="Times New Roman" w:eastAsia="宋体" w:cs="宋体"/>
          <w:bCs/>
          <w:color w:val="auto"/>
          <w:sz w:val="24"/>
          <w:szCs w:val="24"/>
          <w:highlight w:val="none"/>
          <w:lang w:eastAsia="zh-CN"/>
        </w:rPr>
        <w:t>七</w:t>
      </w:r>
      <w:r>
        <w:rPr>
          <w:rFonts w:hint="eastAsia" w:ascii="Times New Roman" w:hAnsi="Times New Roman" w:eastAsia="宋体" w:cs="宋体"/>
          <w:bCs/>
          <w:color w:val="auto"/>
          <w:sz w:val="24"/>
          <w:szCs w:val="24"/>
          <w:highlight w:val="none"/>
        </w:rPr>
        <w:t>章）</w:t>
      </w:r>
    </w:p>
    <w:p w14:paraId="5490AE2E">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4、</w:t>
      </w:r>
      <w:r>
        <w:rPr>
          <w:rFonts w:hint="eastAsia" w:ascii="Times New Roman" w:hAnsi="Times New Roman" w:eastAsia="宋体" w:cs="宋体"/>
          <w:bCs/>
          <w:color w:val="auto"/>
          <w:sz w:val="24"/>
          <w:szCs w:val="24"/>
          <w:highlight w:val="none"/>
        </w:rPr>
        <w:t>商务部分正负偏离表（格式参见第</w:t>
      </w:r>
      <w:r>
        <w:rPr>
          <w:rFonts w:hint="eastAsia" w:ascii="Times New Roman" w:hAnsi="Times New Roman" w:eastAsia="宋体" w:cs="宋体"/>
          <w:bCs/>
          <w:color w:val="auto"/>
          <w:sz w:val="24"/>
          <w:szCs w:val="24"/>
          <w:highlight w:val="none"/>
          <w:lang w:eastAsia="zh-CN"/>
        </w:rPr>
        <w:t>七</w:t>
      </w:r>
      <w:r>
        <w:rPr>
          <w:rFonts w:hint="eastAsia" w:ascii="Times New Roman" w:hAnsi="Times New Roman" w:eastAsia="宋体" w:cs="宋体"/>
          <w:bCs/>
          <w:color w:val="auto"/>
          <w:sz w:val="24"/>
          <w:szCs w:val="24"/>
          <w:highlight w:val="none"/>
        </w:rPr>
        <w:t>章）</w:t>
      </w:r>
    </w:p>
    <w:p w14:paraId="0B176A5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5、</w:t>
      </w:r>
      <w:r>
        <w:rPr>
          <w:rFonts w:hint="eastAsia" w:ascii="Times New Roman" w:hAnsi="Times New Roman" w:eastAsia="宋体" w:cs="宋体"/>
          <w:bCs/>
          <w:color w:val="auto"/>
          <w:sz w:val="24"/>
          <w:szCs w:val="24"/>
          <w:highlight w:val="none"/>
        </w:rPr>
        <w:t>磋商文件中评分标准所涉及的事项需提供的所有资料；</w:t>
      </w:r>
    </w:p>
    <w:p w14:paraId="0C5272E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6</w:t>
      </w:r>
      <w:r>
        <w:rPr>
          <w:rFonts w:hint="eastAsia" w:ascii="Times New Roman" w:hAnsi="Times New Roman" w:eastAsia="宋体" w:cs="宋体"/>
          <w:bCs/>
          <w:color w:val="auto"/>
          <w:sz w:val="24"/>
          <w:szCs w:val="24"/>
          <w:highlight w:val="none"/>
        </w:rPr>
        <w:t>、磋商文件中未涉及的事项，</w:t>
      </w:r>
      <w:r>
        <w:rPr>
          <w:rFonts w:hint="eastAsia" w:ascii="Times New Roman" w:hAnsi="Times New Roman" w:eastAsia="宋体" w:cs="宋体"/>
          <w:bCs/>
          <w:color w:val="auto"/>
          <w:sz w:val="24"/>
          <w:szCs w:val="24"/>
          <w:highlight w:val="none"/>
          <w:lang w:eastAsia="zh-CN"/>
        </w:rPr>
        <w:t>响应</w:t>
      </w:r>
      <w:r>
        <w:rPr>
          <w:rFonts w:hint="eastAsia" w:ascii="Times New Roman" w:hAnsi="Times New Roman" w:eastAsia="宋体" w:cs="宋体"/>
          <w:bCs/>
          <w:color w:val="auto"/>
          <w:sz w:val="24"/>
          <w:szCs w:val="24"/>
          <w:highlight w:val="none"/>
        </w:rPr>
        <w:t>供应商认为需要提交的其他资料。</w:t>
      </w:r>
    </w:p>
    <w:p w14:paraId="56F9402B">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特别提醒：</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资格审查文件</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技术响应文件</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所须提供的材料按磋商文件要求装订，密封，递交。</w:t>
      </w:r>
    </w:p>
    <w:p w14:paraId="4EEF105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三、报价响应文件（单独密封）</w:t>
      </w:r>
    </w:p>
    <w:p w14:paraId="302487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1、磋商响应报价表（格式参见附件）；</w:t>
      </w:r>
    </w:p>
    <w:p w14:paraId="1E90A19A">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hint="eastAsia"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2、磋商响应报价明细表</w:t>
      </w:r>
      <w:r>
        <w:rPr>
          <w:rFonts w:hint="eastAsia" w:ascii="Times New Roman" w:hAnsi="Times New Roman" w:eastAsia="宋体" w:cs="宋体"/>
          <w:color w:val="auto"/>
          <w:sz w:val="24"/>
          <w:szCs w:val="24"/>
          <w:highlight w:val="none"/>
        </w:rPr>
        <w:t>（格式参见附件）</w:t>
      </w:r>
      <w:r>
        <w:rPr>
          <w:rFonts w:hint="eastAsia" w:ascii="Times New Roman" w:hAnsi="Times New Roman" w:eastAsia="宋体" w:cs="宋体"/>
          <w:bCs/>
          <w:color w:val="auto"/>
          <w:sz w:val="24"/>
          <w:szCs w:val="24"/>
          <w:highlight w:val="none"/>
          <w:lang w:val="en-US" w:eastAsia="zh-CN"/>
        </w:rPr>
        <w:t>；</w:t>
      </w:r>
    </w:p>
    <w:p w14:paraId="0F163ADB">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ascii="Times New Roman" w:hAnsi="Times New Roman" w:eastAsia="宋体"/>
          <w:b/>
          <w:color w:val="auto"/>
          <w:sz w:val="24"/>
          <w:szCs w:val="24"/>
          <w:highlight w:val="none"/>
        </w:rPr>
      </w:pPr>
      <w:r>
        <w:rPr>
          <w:rFonts w:hint="eastAsia" w:ascii="Times New Roman" w:hAnsi="Times New Roman" w:eastAsia="宋体" w:cs="宋体"/>
          <w:color w:val="auto"/>
          <w:sz w:val="24"/>
          <w:szCs w:val="24"/>
          <w:highlight w:val="none"/>
        </w:rPr>
        <w:br w:type="page"/>
      </w:r>
    </w:p>
    <w:p w14:paraId="4C3EB441">
      <w:pPr>
        <w:keepNext w:val="0"/>
        <w:keepLines w:val="0"/>
        <w:pageBreakBefore w:val="0"/>
        <w:widowControl w:val="0"/>
        <w:kinsoku/>
        <w:wordWrap/>
        <w:topLinePunct w:val="0"/>
        <w:autoSpaceDE/>
        <w:autoSpaceDN/>
        <w:bidi w:val="0"/>
        <w:spacing w:line="360" w:lineRule="auto"/>
        <w:jc w:val="left"/>
        <w:textAlignment w:val="baseline"/>
        <w:rPr>
          <w:rFonts w:ascii="Times New Roman" w:hAnsi="Times New Roman" w:eastAsia="宋体"/>
          <w:b/>
          <w:color w:val="auto"/>
          <w:sz w:val="24"/>
          <w:highlight w:val="none"/>
        </w:rPr>
      </w:pPr>
      <w:r>
        <w:rPr>
          <w:rFonts w:hint="eastAsia" w:ascii="Times New Roman" w:hAnsi="Times New Roman" w:eastAsia="宋体"/>
          <w:b/>
          <w:color w:val="auto"/>
          <w:sz w:val="24"/>
          <w:szCs w:val="24"/>
          <w:highlight w:val="none"/>
        </w:rPr>
        <w:t>附件:</w:t>
      </w:r>
    </w:p>
    <w:p w14:paraId="732A05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1、法定代表人身份证明</w:t>
      </w:r>
    </w:p>
    <w:p w14:paraId="6AE0EE61">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（法定代表人参加投标，须出示此证明）</w:t>
      </w:r>
    </w:p>
    <w:p w14:paraId="724B7DC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p w14:paraId="1E671B2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7A312EA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我公司法定代表人</w:t>
      </w:r>
      <w:r>
        <w:rPr>
          <w:rFonts w:hint="eastAsia" w:ascii="Times New Roman" w:hAnsi="Times New Roman" w:eastAsia="宋体" w:cs="宋体"/>
          <w:color w:val="auto"/>
          <w:sz w:val="24"/>
          <w:szCs w:val="24"/>
          <w:highlight w:val="none"/>
          <w:u w:val="single"/>
        </w:rPr>
        <w:t>　　　</w:t>
      </w:r>
      <w:r>
        <w:rPr>
          <w:rFonts w:hint="eastAsia" w:ascii="Times New Roman" w:hAnsi="Times New Roman" w:eastAsia="宋体" w:cs="宋体"/>
          <w:color w:val="auto"/>
          <w:sz w:val="24"/>
          <w:szCs w:val="24"/>
          <w:highlight w:val="none"/>
        </w:rPr>
        <w:t>参加贵单位组织的</w:t>
      </w:r>
      <w:r>
        <w:rPr>
          <w:rFonts w:hint="eastAsia" w:ascii="Times New Roman" w:hAnsi="Times New Roman" w:eastAsia="宋体"/>
          <w:color w:val="auto"/>
          <w:sz w:val="24"/>
          <w:szCs w:val="24"/>
          <w:highlight w:val="none"/>
          <w:u w:val="single"/>
          <w:lang w:eastAsia="zh-CN"/>
        </w:rPr>
        <w:t>南通市第三人民医院新老中央空调系统管路（二期大楼与4#6#楼）之间增设板式换热机组（第二次）</w:t>
      </w:r>
      <w:r>
        <w:rPr>
          <w:rFonts w:hint="eastAsia" w:ascii="Times New Roman" w:hAnsi="Times New Roman" w:eastAsia="宋体" w:cs="宋体"/>
          <w:color w:val="auto"/>
          <w:sz w:val="24"/>
          <w:szCs w:val="24"/>
          <w:highlight w:val="none"/>
        </w:rPr>
        <w:t>（竞争性磋商项目名称）项目的磋商活动，全权代表我公司处理该磋商活动的有关事宜。</w:t>
      </w:r>
    </w:p>
    <w:p w14:paraId="09B35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6C411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附：法定代表人情况：</w:t>
      </w:r>
    </w:p>
    <w:p w14:paraId="5A9425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姓名：性别：年龄：职务：</w:t>
      </w:r>
    </w:p>
    <w:p w14:paraId="476C152C">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身份证号码：</w:t>
      </w:r>
    </w:p>
    <w:p w14:paraId="68B46FC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手机：传真：</w:t>
      </w:r>
    </w:p>
    <w:p w14:paraId="069BEC9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w:t>
      </w:r>
    </w:p>
    <w:p w14:paraId="50F6DA97">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1F5CC40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单位名称（公章）法定代表人（签字或盖章）</w:t>
      </w:r>
    </w:p>
    <w:p w14:paraId="52938C0C">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年月日年月日</w:t>
      </w:r>
    </w:p>
    <w:p w14:paraId="0D63A7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3526DD7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法定代表人身份证复印件</w:t>
      </w:r>
    </w:p>
    <w:p w14:paraId="35F64DD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5DA3EF31">
      <w:pPr>
        <w:keepNext w:val="0"/>
        <w:keepLines w:val="0"/>
        <w:pageBreakBefore w:val="0"/>
        <w:widowControl w:val="0"/>
        <w:kinsoku/>
        <w:wordWrap/>
        <w:topLinePunct w:val="0"/>
        <w:autoSpaceDE/>
        <w:autoSpaceDN/>
        <w:bidi w:val="0"/>
        <w:spacing w:line="360" w:lineRule="auto"/>
        <w:ind w:firstLine="2280" w:firstLineChars="95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（粘贴此处）</w:t>
      </w:r>
    </w:p>
    <w:p w14:paraId="2877421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注:参加磋商活动时法定代表人将身份证原件带至开标现场备查。</w:t>
      </w:r>
    </w:p>
    <w:p w14:paraId="19A2CB54">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bCs/>
          <w:color w:val="auto"/>
          <w:sz w:val="24"/>
          <w:szCs w:val="24"/>
          <w:highlight w:val="none"/>
        </w:rPr>
      </w:pPr>
      <w:r>
        <w:rPr>
          <w:rFonts w:ascii="Times New Roman" w:hAnsi="Times New Roman" w:eastAsia="宋体" w:cs="宋体"/>
          <w:b/>
          <w:bCs/>
          <w:color w:val="auto"/>
          <w:sz w:val="24"/>
          <w:szCs w:val="24"/>
          <w:highlight w:val="none"/>
        </w:rPr>
        <w:br w:type="page"/>
      </w:r>
    </w:p>
    <w:p w14:paraId="20390B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olor w:val="auto"/>
          <w:sz w:val="20"/>
          <w:highlight w:val="none"/>
        </w:rPr>
      </w:pPr>
      <w:r>
        <w:rPr>
          <w:rFonts w:hint="eastAsia" w:ascii="Times New Roman" w:hAnsi="Times New Roman" w:eastAsia="宋体"/>
          <w:b/>
          <w:color w:val="auto"/>
          <w:sz w:val="24"/>
          <w:szCs w:val="24"/>
          <w:highlight w:val="none"/>
        </w:rPr>
        <w:t>2、授权委托书</w:t>
      </w:r>
    </w:p>
    <w:p w14:paraId="440039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（委托代理人参加投标，须出示此证明）</w:t>
      </w:r>
    </w:p>
    <w:p w14:paraId="7E2D926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Cs/>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23E00D13">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兹授权</w:t>
      </w:r>
      <w:r>
        <w:rPr>
          <w:rFonts w:hint="eastAsia" w:ascii="Times New Roman" w:hAnsi="Times New Roman" w:eastAsia="宋体" w:cs="宋体"/>
          <w:color w:val="auto"/>
          <w:sz w:val="24"/>
          <w:szCs w:val="24"/>
          <w:highlight w:val="none"/>
          <w:u w:val="single"/>
        </w:rPr>
        <w:t>（</w:t>
      </w:r>
      <w:r>
        <w:rPr>
          <w:rFonts w:hint="eastAsia" w:ascii="Times New Roman" w:hAnsi="Times New Roman" w:eastAsia="宋体" w:cs="宋体"/>
          <w:color w:val="auto"/>
          <w:sz w:val="24"/>
          <w:szCs w:val="24"/>
          <w:highlight w:val="none"/>
        </w:rPr>
        <w:t>被授权人的姓名）代表我公司参加</w:t>
      </w:r>
      <w:r>
        <w:rPr>
          <w:rFonts w:hint="eastAsia" w:ascii="Times New Roman" w:hAnsi="Times New Roman" w:eastAsia="宋体"/>
          <w:color w:val="auto"/>
          <w:sz w:val="24"/>
          <w:szCs w:val="24"/>
          <w:highlight w:val="none"/>
          <w:u w:val="single"/>
          <w:lang w:eastAsia="zh-CN"/>
        </w:rPr>
        <w:t>南通市第三人民医院新老中央空调系统管路（二期大楼与4#6#楼）之间增设板式换热机组（第二次）</w:t>
      </w:r>
      <w:r>
        <w:rPr>
          <w:rFonts w:hint="eastAsia" w:ascii="Times New Roman" w:hAnsi="Times New Roman" w:eastAsia="宋体" w:cs="宋体"/>
          <w:color w:val="auto"/>
          <w:sz w:val="24"/>
          <w:szCs w:val="24"/>
          <w:highlight w:val="none"/>
        </w:rPr>
        <w:t>（竞争性磋商项目名称）项目的磋商活动，全权处理一切与该项目磋商有关的事务。其在办理上述事宜过程中所签署的所有文件我公司均予以承认。</w:t>
      </w:r>
    </w:p>
    <w:p w14:paraId="6EC5AE49">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被授权人无转委托权。特此委托。</w:t>
      </w:r>
    </w:p>
    <w:p w14:paraId="4C4264BF">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color w:val="auto"/>
          <w:sz w:val="24"/>
          <w:szCs w:val="24"/>
          <w:highlight w:val="none"/>
        </w:rPr>
      </w:pPr>
    </w:p>
    <w:p w14:paraId="5654175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7188B0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附：被授权人情况：</w:t>
      </w:r>
    </w:p>
    <w:p w14:paraId="1ADC34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姓名：性别：年龄：职务：</w:t>
      </w:r>
    </w:p>
    <w:p w14:paraId="1369133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身份证号码：</w:t>
      </w:r>
    </w:p>
    <w:p w14:paraId="58FA5C6A">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手机：传真：</w:t>
      </w:r>
    </w:p>
    <w:p w14:paraId="6368833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w:t>
      </w:r>
    </w:p>
    <w:p w14:paraId="1BF1A06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单位名称（公章）法定代表人（签字或盖章）</w:t>
      </w:r>
    </w:p>
    <w:p w14:paraId="1BAFC67B">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年月日年月日</w:t>
      </w:r>
    </w:p>
    <w:p w14:paraId="5CAEAFE6">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2B4875B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法定代表人身份证复印件</w:t>
      </w:r>
    </w:p>
    <w:p w14:paraId="134EFE6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699508A2">
      <w:pPr>
        <w:keepNext w:val="0"/>
        <w:keepLines w:val="0"/>
        <w:pageBreakBefore w:val="0"/>
        <w:widowControl w:val="0"/>
        <w:kinsoku/>
        <w:wordWrap/>
        <w:topLinePunct w:val="0"/>
        <w:autoSpaceDE/>
        <w:autoSpaceDN/>
        <w:bidi w:val="0"/>
        <w:spacing w:line="360" w:lineRule="auto"/>
        <w:ind w:firstLine="3960" w:firstLineChars="165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（粘贴此处）</w:t>
      </w:r>
    </w:p>
    <w:p w14:paraId="67B3912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被授权人身份证复印件</w:t>
      </w:r>
    </w:p>
    <w:p w14:paraId="7BDF9F0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color w:val="auto"/>
          <w:sz w:val="24"/>
          <w:szCs w:val="24"/>
          <w:highlight w:val="none"/>
        </w:rPr>
        <w:t>（粘贴此处）</w:t>
      </w:r>
    </w:p>
    <w:p w14:paraId="3B5C7E52">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注:参加磋商活动时被授权人将身份证原件带至开标现场备查。</w:t>
      </w:r>
    </w:p>
    <w:p w14:paraId="4499F4A3">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color w:val="auto"/>
          <w:sz w:val="24"/>
          <w:szCs w:val="24"/>
          <w:highlight w:val="none"/>
        </w:rPr>
      </w:pPr>
    </w:p>
    <w:p w14:paraId="294A71F8">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28B6A7E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3、供应商符合《中华人民共和国政府采购法》第二十二条规定条件的声明函</w:t>
      </w:r>
    </w:p>
    <w:p w14:paraId="4C04BA76">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color w:val="auto"/>
          <w:sz w:val="24"/>
          <w:szCs w:val="21"/>
          <w:highlight w:val="none"/>
          <w:u w:val="single"/>
        </w:rPr>
      </w:pPr>
    </w:p>
    <w:p w14:paraId="4ABC32A0">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bCs/>
          <w:color w:val="auto"/>
          <w:sz w:val="24"/>
          <w:szCs w:val="21"/>
          <w:highlight w:val="none"/>
        </w:rPr>
      </w:pPr>
      <w:r>
        <w:rPr>
          <w:rFonts w:hint="eastAsia" w:ascii="Times New Roman" w:hAnsi="Times New Roman" w:eastAsia="宋体"/>
          <w:color w:val="auto"/>
          <w:sz w:val="24"/>
          <w:szCs w:val="24"/>
          <w:highlight w:val="none"/>
          <w:u w:val="single"/>
        </w:rPr>
        <w:t>南通市第三人民医院</w:t>
      </w:r>
      <w:r>
        <w:rPr>
          <w:rFonts w:ascii="Times New Roman" w:hAnsi="Times New Roman" w:eastAsia="宋体" w:cs="Times New Roman"/>
          <w:bCs/>
          <w:color w:val="auto"/>
          <w:sz w:val="24"/>
          <w:szCs w:val="21"/>
          <w:highlight w:val="none"/>
        </w:rPr>
        <w:t>：</w:t>
      </w:r>
    </w:p>
    <w:p w14:paraId="10272BC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
          <w:bCs/>
          <w:color w:val="auto"/>
          <w:sz w:val="24"/>
          <w:szCs w:val="21"/>
          <w:highlight w:val="none"/>
        </w:rPr>
      </w:pPr>
      <w:r>
        <w:rPr>
          <w:rFonts w:hint="eastAsia" w:ascii="Times New Roman" w:hAnsi="Times New Roman" w:eastAsia="宋体" w:cs="Times New Roman"/>
          <w:bCs/>
          <w:color w:val="auto"/>
          <w:sz w:val="24"/>
          <w:szCs w:val="21"/>
          <w:highlight w:val="none"/>
        </w:rPr>
        <w:t>我单位参加</w:t>
      </w:r>
      <w:r>
        <w:rPr>
          <w:rFonts w:hint="eastAsia" w:ascii="Times New Roman" w:hAnsi="Times New Roman" w:eastAsia="宋体" w:cs="Times New Roman"/>
          <w:bCs/>
          <w:color w:val="auto"/>
          <w:sz w:val="24"/>
          <w:szCs w:val="21"/>
          <w:highlight w:val="none"/>
          <w:u w:val="single"/>
        </w:rPr>
        <w:t>________________ _</w:t>
      </w:r>
      <w:r>
        <w:rPr>
          <w:rFonts w:hint="eastAsia" w:ascii="Times New Roman" w:hAnsi="Times New Roman" w:eastAsia="宋体" w:cs="Times New Roman"/>
          <w:bCs/>
          <w:color w:val="auto"/>
          <w:sz w:val="24"/>
          <w:szCs w:val="21"/>
          <w:highlight w:val="none"/>
        </w:rPr>
        <w:t>（项目名称），</w:t>
      </w:r>
      <w:r>
        <w:rPr>
          <w:rFonts w:hint="eastAsia" w:ascii="Times New Roman" w:hAnsi="Times New Roman" w:eastAsia="宋体" w:cs="Times New Roman"/>
          <w:bCs/>
          <w:color w:val="auto"/>
          <w:sz w:val="24"/>
          <w:szCs w:val="21"/>
          <w:highlight w:val="none"/>
          <w:u w:val="single"/>
        </w:rPr>
        <w:t>_______ __________</w:t>
      </w:r>
      <w:r>
        <w:rPr>
          <w:rFonts w:hint="eastAsia" w:ascii="Times New Roman" w:hAnsi="Times New Roman" w:eastAsia="宋体" w:cs="Times New Roman"/>
          <w:bCs/>
          <w:color w:val="auto"/>
          <w:sz w:val="24"/>
          <w:szCs w:val="21"/>
          <w:highlight w:val="none"/>
        </w:rPr>
        <w:t>（项目编号）竞争性磋商活动。针对《中华人民共和国政府采购法》第二十二条规定做出如下声明：</w:t>
      </w:r>
    </w:p>
    <w:p w14:paraId="19EA956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bCs/>
          <w:color w:val="auto"/>
          <w:sz w:val="24"/>
          <w:szCs w:val="21"/>
          <w:highlight w:val="none"/>
        </w:rPr>
        <w:t>1.我单位具有独立承担民事责任的能力；</w:t>
      </w:r>
    </w:p>
    <w:p w14:paraId="1A785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2.我单位具有良好的商业信誉和健全的财务会计制度；</w:t>
      </w:r>
    </w:p>
    <w:p w14:paraId="31A8F42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3.我单位具有履行合同所必需的设备和专业技术能力；</w:t>
      </w:r>
    </w:p>
    <w:p w14:paraId="1900871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4.我单位有依法缴纳税收和社会保障资金的良好记录；</w:t>
      </w:r>
    </w:p>
    <w:p w14:paraId="0FCD552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较大数额罚款</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认定为200万元以上的罚款，法律、行政法规以及国务院有关部门明确规定相关领域</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较大数额罚款</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标准高于200万元的，从其规定。）</w:t>
      </w:r>
    </w:p>
    <w:p w14:paraId="768A4146">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Cs/>
          <w:color w:val="auto"/>
          <w:sz w:val="24"/>
          <w:szCs w:val="21"/>
          <w:highlight w:val="none"/>
        </w:rPr>
      </w:pPr>
      <w:r>
        <w:rPr>
          <w:rFonts w:hint="eastAsia" w:ascii="Times New Roman" w:hAnsi="Times New Roman" w:eastAsia="宋体" w:cs="Times New Roman"/>
          <w:color w:val="auto"/>
          <w:sz w:val="24"/>
          <w:szCs w:val="21"/>
          <w:highlight w:val="none"/>
        </w:rPr>
        <w:t>6.我单位满足法律、行政法规规定的其他条件。</w:t>
      </w:r>
    </w:p>
    <w:p w14:paraId="3E31EBA1">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color w:val="auto"/>
          <w:sz w:val="28"/>
          <w:szCs w:val="20"/>
          <w:highlight w:val="none"/>
        </w:rPr>
      </w:pPr>
    </w:p>
    <w:p w14:paraId="1345351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p>
    <w:p w14:paraId="06041CA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供应商：（加盖公章）</w:t>
      </w:r>
    </w:p>
    <w:p w14:paraId="71726D7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法定代表人或被授权人：（签字或盖章）</w:t>
      </w:r>
    </w:p>
    <w:p w14:paraId="58A40EDC">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p w14:paraId="7B970FE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1DC4C2D6">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Times New Roman"/>
          <w:b/>
          <w:color w:val="auto"/>
          <w:sz w:val="24"/>
          <w:szCs w:val="24"/>
          <w:highlight w:val="none"/>
        </w:rPr>
      </w:pPr>
      <w:r>
        <w:rPr>
          <w:rFonts w:hint="eastAsia" w:ascii="Times New Roman" w:hAnsi="Times New Roman" w:eastAsia="宋体"/>
          <w:b/>
          <w:color w:val="auto"/>
          <w:sz w:val="24"/>
          <w:szCs w:val="24"/>
          <w:highlight w:val="none"/>
        </w:rPr>
        <w:t>4、</w:t>
      </w:r>
      <w:r>
        <w:rPr>
          <w:rFonts w:hint="eastAsia" w:ascii="Times New Roman" w:hAnsi="Times New Roman" w:eastAsia="宋体" w:cs="Times New Roman"/>
          <w:b/>
          <w:color w:val="auto"/>
          <w:sz w:val="24"/>
          <w:szCs w:val="24"/>
          <w:highlight w:val="none"/>
        </w:rPr>
        <w:t>诚信承诺书</w:t>
      </w:r>
    </w:p>
    <w:p w14:paraId="4C039A2A">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color w:val="auto"/>
          <w:sz w:val="28"/>
          <w:szCs w:val="28"/>
          <w:highlight w:val="none"/>
          <w:u w:val="single"/>
        </w:rPr>
      </w:pPr>
      <w:r>
        <w:rPr>
          <w:rFonts w:ascii="Times New Roman" w:hAnsi="Times New Roman" w:eastAsia="宋体" w:cs="仿宋_GB2312"/>
          <w:color w:val="auto"/>
          <w:sz w:val="24"/>
          <w:szCs w:val="24"/>
          <w:highlight w:val="none"/>
          <w:u w:val="single"/>
        </w:rPr>
        <w:softHyphen/>
      </w:r>
      <w:r>
        <w:rPr>
          <w:rFonts w:hint="eastAsia" w:ascii="Times New Roman" w:hAnsi="Times New Roman" w:eastAsia="宋体" w:cs="仿宋_GB2312"/>
          <w:color w:val="auto"/>
          <w:sz w:val="24"/>
          <w:szCs w:val="24"/>
          <w:highlight w:val="none"/>
          <w:u w:val="single"/>
        </w:rPr>
        <w:t>______</w:t>
      </w:r>
      <w:r>
        <w:rPr>
          <w:rFonts w:hint="eastAsia" w:ascii="Times New Roman" w:hAnsi="Times New Roman" w:eastAsia="宋体" w:cs="宋体"/>
          <w:color w:val="auto"/>
          <w:sz w:val="24"/>
          <w:szCs w:val="24"/>
          <w:highlight w:val="none"/>
          <w:u w:val="single"/>
        </w:rPr>
        <w:t>：</w:t>
      </w:r>
    </w:p>
    <w:p w14:paraId="6D322D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我单位在参加贵单位组织的</w:t>
      </w:r>
      <w:r>
        <w:rPr>
          <w:rFonts w:hint="eastAsia" w:ascii="Times New Roman" w:hAnsi="Times New Roman" w:eastAsia="宋体" w:cs="宋体"/>
          <w:color w:val="auto"/>
          <w:sz w:val="24"/>
          <w:szCs w:val="24"/>
          <w:highlight w:val="none"/>
          <w:u w:val="single"/>
        </w:rPr>
        <w:t xml:space="preserve">     项目</w:t>
      </w:r>
      <w:r>
        <w:rPr>
          <w:rFonts w:hint="eastAsia" w:ascii="Times New Roman" w:hAnsi="Times New Roman" w:eastAsia="宋体" w:cs="宋体"/>
          <w:color w:val="auto"/>
          <w:sz w:val="24"/>
          <w:szCs w:val="24"/>
          <w:highlight w:val="none"/>
        </w:rPr>
        <w:t>的招投标活动中，郑重承诺如下：</w:t>
      </w:r>
    </w:p>
    <w:p w14:paraId="4FC44F01">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1、我方申报的所有资料都是真实、准确、完整的；</w:t>
      </w:r>
    </w:p>
    <w:p w14:paraId="1E8C534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2、我方无资质挂靠或参与串标、围标、及抬标情形；</w:t>
      </w:r>
    </w:p>
    <w:p w14:paraId="58D22709">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3、我方没有被各级行政主管部门做出停止市场行为的处罚；</w:t>
      </w:r>
    </w:p>
    <w:p w14:paraId="445D709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4、若我方中标，将严格按照规定及时与招标单位签订合同；</w:t>
      </w:r>
    </w:p>
    <w:p w14:paraId="5D33C2D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5、若我方中标，将严格按照投标文件所承诺的报价、质量、供货期等内容组织实施；</w:t>
      </w:r>
    </w:p>
    <w:p w14:paraId="40DBAAF4">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若我方违反上述承诺，隐瞒、提供虚假资料或不按投标文件要求组织实施，被贵方发现或被他人举报查实，无条件接受有关行政监督部门做出的取消投标资格、中标资格、没收</w:t>
      </w:r>
      <w:r>
        <w:rPr>
          <w:rFonts w:hint="eastAsia" w:ascii="Times New Roman" w:hAnsi="Times New Roman" w:eastAsia="宋体" w:cs="宋体"/>
          <w:color w:val="auto"/>
          <w:sz w:val="24"/>
          <w:szCs w:val="24"/>
          <w:highlight w:val="none"/>
          <w:lang w:eastAsia="zh-CN"/>
        </w:rPr>
        <w:t>磋商</w:t>
      </w:r>
      <w:r>
        <w:rPr>
          <w:rFonts w:hint="eastAsia" w:ascii="Times New Roman" w:hAnsi="Times New Roman" w:eastAsia="宋体" w:cs="宋体"/>
          <w:color w:val="auto"/>
          <w:sz w:val="24"/>
          <w:szCs w:val="24"/>
          <w:highlight w:val="none"/>
        </w:rPr>
        <w:t>保证金、不良行为记录、限制其一定期限内投标资格等处罚。对造成的损失，任何法律和经济责任完全由我方负责。</w:t>
      </w:r>
    </w:p>
    <w:p w14:paraId="10CA0CFA">
      <w:pPr>
        <w:keepNext w:val="0"/>
        <w:keepLines w:val="0"/>
        <w:pageBreakBefore w:val="0"/>
        <w:widowControl w:val="0"/>
        <w:kinsoku/>
        <w:wordWrap/>
        <w:topLinePunct w:val="0"/>
        <w:autoSpaceDE/>
        <w:autoSpaceDN/>
        <w:bidi w:val="0"/>
        <w:spacing w:line="360" w:lineRule="auto"/>
        <w:ind w:firstLine="560" w:firstLineChars="200"/>
        <w:rPr>
          <w:rFonts w:ascii="Times New Roman" w:hAnsi="Times New Roman" w:eastAsia="宋体" w:cs="宋体"/>
          <w:bCs/>
          <w:color w:val="auto"/>
          <w:sz w:val="28"/>
          <w:szCs w:val="28"/>
          <w:highlight w:val="none"/>
        </w:rPr>
      </w:pPr>
    </w:p>
    <w:p w14:paraId="0E306E57">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供应商：（加盖公章）</w:t>
      </w:r>
    </w:p>
    <w:p w14:paraId="1C2E879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法定代表人或被授权人：（签字或盖章）</w:t>
      </w:r>
    </w:p>
    <w:p w14:paraId="06093B84">
      <w:pPr>
        <w:keepNext w:val="0"/>
        <w:keepLines w:val="0"/>
        <w:pageBreakBefore w:val="0"/>
        <w:widowControl w:val="0"/>
        <w:kinsoku/>
        <w:wordWrap/>
        <w:topLinePunct w:val="0"/>
        <w:autoSpaceDE/>
        <w:autoSpaceDN/>
        <w:bidi w:val="0"/>
        <w:spacing w:line="360" w:lineRule="auto"/>
        <w:ind w:firstLine="1320" w:firstLineChars="550"/>
        <w:jc w:val="righ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p w14:paraId="3ED19012">
      <w:pPr>
        <w:rPr>
          <w:rFonts w:hint="eastAsia" w:ascii="Times New Roman" w:hAnsi="Times New Roman" w:eastAsia="宋体"/>
          <w:color w:val="auto"/>
          <w:highlight w:val="none"/>
        </w:rPr>
      </w:pPr>
      <w:r>
        <w:rPr>
          <w:rFonts w:hint="eastAsia" w:ascii="Times New Roman" w:hAnsi="Times New Roman" w:eastAsia="宋体" w:cs="宋体"/>
          <w:color w:val="auto"/>
          <w:sz w:val="24"/>
          <w:szCs w:val="24"/>
          <w:highlight w:val="none"/>
        </w:rPr>
        <w:br w:type="page"/>
      </w:r>
    </w:p>
    <w:p w14:paraId="7EB8E42F">
      <w:pPr>
        <w:spacing w:before="240" w:line="312" w:lineRule="auto"/>
        <w:jc w:val="center"/>
        <w:rPr>
          <w:b/>
          <w:color w:val="auto"/>
          <w:sz w:val="24"/>
          <w:szCs w:val="24"/>
          <w:highlight w:val="none"/>
        </w:rPr>
      </w:pPr>
      <w:r>
        <w:rPr>
          <w:rFonts w:hint="eastAsia" w:eastAsia="宋体"/>
          <w:b/>
          <w:color w:val="auto"/>
          <w:sz w:val="24"/>
          <w:szCs w:val="24"/>
          <w:highlight w:val="none"/>
          <w:lang w:val="en-US" w:eastAsia="zh-CN"/>
        </w:rPr>
        <w:t>5</w:t>
      </w:r>
      <w:r>
        <w:rPr>
          <w:rFonts w:hint="eastAsia"/>
          <w:b/>
          <w:color w:val="auto"/>
          <w:sz w:val="24"/>
          <w:szCs w:val="24"/>
          <w:highlight w:val="none"/>
        </w:rPr>
        <w:t>、现场勘察承诺函</w:t>
      </w:r>
    </w:p>
    <w:p w14:paraId="343D7568">
      <w:pPr>
        <w:pStyle w:val="71"/>
        <w:adjustRightInd w:val="0"/>
        <w:snapToGrid w:val="0"/>
        <w:spacing w:line="52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依据贵单位</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项目磋商文件的要求。我方已于</w:t>
      </w:r>
      <w:r>
        <w:rPr>
          <w:rFonts w:hint="eastAsia" w:ascii="宋体" w:eastAsia="宋体" w:cs="宋体"/>
          <w:color w:val="auto"/>
          <w:sz w:val="24"/>
          <w:szCs w:val="24"/>
          <w:highlight w:val="none"/>
          <w:u w:val="single"/>
        </w:rPr>
        <w:t xml:space="preserve">         月             日</w:t>
      </w:r>
      <w:r>
        <w:rPr>
          <w:rFonts w:hint="eastAsia" w:ascii="宋体" w:eastAsia="宋体" w:cs="宋体"/>
          <w:color w:val="auto"/>
          <w:sz w:val="24"/>
          <w:szCs w:val="24"/>
          <w:highlight w:val="none"/>
        </w:rPr>
        <w:t>对该项目进行了现场勘察，现就现场勘察情况作如下承诺：</w:t>
      </w:r>
    </w:p>
    <w:p w14:paraId="732210D4">
      <w:pPr>
        <w:pStyle w:val="71"/>
        <w:adjustRightInd w:val="0"/>
        <w:snapToGrid w:val="0"/>
        <w:spacing w:line="52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1、经现场勘察，我方已熟悉与该项目相关的现场、施工环境、现场周围交通道路等所有情况。</w:t>
      </w:r>
    </w:p>
    <w:p w14:paraId="3F535726">
      <w:pPr>
        <w:pStyle w:val="71"/>
        <w:adjustRightInd w:val="0"/>
        <w:snapToGrid w:val="0"/>
        <w:spacing w:line="52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2、我方承诺自行承担本次现场勘察所发生的所有费用并承担勘察现场的相关责任和风险。</w:t>
      </w:r>
    </w:p>
    <w:p w14:paraId="0608A1D1">
      <w:pPr>
        <w:pStyle w:val="71"/>
        <w:adjustRightInd w:val="0"/>
        <w:snapToGrid w:val="0"/>
        <w:spacing w:line="52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3、我方承诺在任何情况下均不以不完全了解现场情况为理由而向采购人提出任何索赔的要求。</w:t>
      </w:r>
    </w:p>
    <w:p w14:paraId="3FC8F77B">
      <w:pPr>
        <w:pStyle w:val="71"/>
        <w:adjustRightInd w:val="0"/>
        <w:snapToGrid w:val="0"/>
        <w:spacing w:line="520" w:lineRule="exact"/>
        <w:ind w:firstLine="480" w:firstLineChars="200"/>
        <w:contextualSpacing/>
        <w:rPr>
          <w:rFonts w:ascii="宋体" w:eastAsia="宋体" w:cs="宋体"/>
          <w:color w:val="auto"/>
          <w:sz w:val="24"/>
          <w:szCs w:val="24"/>
          <w:highlight w:val="none"/>
        </w:rPr>
      </w:pPr>
    </w:p>
    <w:p w14:paraId="6F0F6A96">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采购方代表签字：</w:t>
      </w:r>
      <w:r>
        <w:rPr>
          <w:rFonts w:hint="eastAsia" w:ascii="宋体" w:hAnsi="宋体" w:cs="宋体"/>
          <w:color w:val="auto"/>
          <w:sz w:val="24"/>
          <w:szCs w:val="24"/>
          <w:highlight w:val="none"/>
          <w:u w:val="single"/>
        </w:rPr>
        <w:t xml:space="preserve">                     （必须经采购方签字或盖章，否则作无效响应处理）</w:t>
      </w:r>
    </w:p>
    <w:p w14:paraId="76FDEE0E">
      <w:pPr>
        <w:snapToGrid w:val="0"/>
        <w:spacing w:line="520" w:lineRule="exact"/>
        <w:jc w:val="right"/>
        <w:rPr>
          <w:rFonts w:ascii="宋体" w:hAnsi="宋体" w:cs="宋体"/>
          <w:color w:val="auto"/>
          <w:sz w:val="24"/>
          <w:szCs w:val="24"/>
          <w:highlight w:val="none"/>
        </w:rPr>
      </w:pPr>
    </w:p>
    <w:p w14:paraId="3D38C93D">
      <w:pPr>
        <w:snapToGrid w:val="0"/>
        <w:spacing w:line="520" w:lineRule="exact"/>
        <w:jc w:val="right"/>
        <w:rPr>
          <w:rFonts w:ascii="宋体" w:hAnsi="宋体" w:cs="宋体"/>
          <w:color w:val="auto"/>
          <w:sz w:val="24"/>
          <w:szCs w:val="24"/>
          <w:highlight w:val="none"/>
        </w:rPr>
      </w:pPr>
    </w:p>
    <w:p w14:paraId="03470A53">
      <w:pPr>
        <w:snapToGrid w:val="0"/>
        <w:spacing w:line="52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bCs/>
          <w:color w:val="auto"/>
          <w:sz w:val="24"/>
          <w:szCs w:val="24"/>
          <w:highlight w:val="none"/>
        </w:rPr>
        <w:t xml:space="preserve">： </w:t>
      </w:r>
      <w:r>
        <w:rPr>
          <w:rFonts w:hint="eastAsia" w:ascii="宋体" w:hAnsi="宋体" w:cs="宋体"/>
          <w:color w:val="auto"/>
          <w:sz w:val="24"/>
          <w:szCs w:val="24"/>
          <w:highlight w:val="none"/>
        </w:rPr>
        <w:t>（加盖公章）</w:t>
      </w:r>
    </w:p>
    <w:p w14:paraId="247FC337">
      <w:pPr>
        <w:snapToGrid w:val="0"/>
        <w:spacing w:line="520" w:lineRule="exact"/>
        <w:ind w:firstLine="2400" w:firstLineChars="100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法定代表人或被授权人：（签字或盖章）</w:t>
      </w:r>
    </w:p>
    <w:p w14:paraId="1869CFE9">
      <w:pPr>
        <w:snapToGrid w:val="0"/>
        <w:spacing w:line="52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62769C5F">
      <w:pPr>
        <w:pStyle w:val="43"/>
        <w:rPr>
          <w:color w:val="auto"/>
          <w:highlight w:val="none"/>
        </w:rPr>
      </w:pPr>
    </w:p>
    <w:p w14:paraId="03D5D71C">
      <w:pPr>
        <w:rPr>
          <w:rFonts w:hint="eastAsia" w:ascii="Times New Roman" w:hAnsi="Times New Roman" w:eastAsia="宋体" w:cs="宋体"/>
          <w:b/>
          <w:bCs/>
          <w:color w:val="auto"/>
          <w:sz w:val="24"/>
          <w:szCs w:val="24"/>
          <w:highlight w:val="none"/>
          <w:lang w:val="en-US" w:eastAsia="zh-CN"/>
        </w:rPr>
      </w:pPr>
    </w:p>
    <w:p w14:paraId="030B8FD7">
      <w:pPr>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br w:type="page"/>
      </w:r>
    </w:p>
    <w:p w14:paraId="49A9F47F">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lang w:val="en-US" w:eastAsia="zh-CN"/>
        </w:rPr>
        <w:t>6</w:t>
      </w:r>
      <w:r>
        <w:rPr>
          <w:rFonts w:hint="eastAsia" w:ascii="Times New Roman" w:hAnsi="Times New Roman" w:eastAsia="宋体" w:cs="宋体"/>
          <w:b/>
          <w:bCs/>
          <w:color w:val="auto"/>
          <w:sz w:val="24"/>
          <w:szCs w:val="24"/>
          <w:highlight w:val="none"/>
        </w:rPr>
        <w:t>、竞争性磋商响应函</w:t>
      </w:r>
    </w:p>
    <w:p w14:paraId="41CFE15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64E039D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依据贵单位委托代理机构组织的（磋商项目名称)项目竞争性磋商的邀请，我方授权</w:t>
      </w:r>
      <w:r>
        <w:rPr>
          <w:rFonts w:hint="eastAsia" w:ascii="Times New Roman" w:hAnsi="Times New Roman" w:eastAsia="宋体"/>
          <w:color w:val="auto"/>
          <w:sz w:val="24"/>
          <w:szCs w:val="24"/>
          <w:highlight w:val="none"/>
          <w:u w:val="single"/>
        </w:rPr>
        <w:t>（姓名）（职务）为</w:t>
      </w:r>
      <w:r>
        <w:rPr>
          <w:rFonts w:hint="eastAsia" w:ascii="Times New Roman" w:hAnsi="Times New Roman" w:eastAsia="宋体"/>
          <w:color w:val="auto"/>
          <w:sz w:val="24"/>
          <w:szCs w:val="24"/>
          <w:highlight w:val="none"/>
        </w:rPr>
        <w:t>全权代表参加该项目的磋商工作，全权处理本次竞争性磋商的有关事宜。同时，我公司声明如下：</w:t>
      </w:r>
    </w:p>
    <w:p w14:paraId="51FBA21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1、同意并接受竞争性磋商文件的各项要求，遵守竞争性磋商文件中的各项规定，按竞争性磋商文件的要求提供报价。</w:t>
      </w:r>
    </w:p>
    <w:p w14:paraId="6C6A61C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2、我公司已经详细阅读了竞争性磋商文件的全部内容，我方已完全清晰理解竞争性磋商文件的要求，不存在任何含糊不清和误解之处，同意放弃对竞争性磋商文件所表述的内容提出异议和质疑的权利。</w:t>
      </w:r>
    </w:p>
    <w:p w14:paraId="1F3D4B6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3、我公司已毫无保留地向贵方提供一切所需的证明材料。</w:t>
      </w:r>
    </w:p>
    <w:p w14:paraId="1CD14FA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4、我公司承诺在本次磋商响应中提供的一切文件，无论是原件还是复印件均真实有效，绝无任何虚假、伪造和夸大的成份。否则，愿承担相应的后果和法律责任。</w:t>
      </w:r>
    </w:p>
    <w:p w14:paraId="67F4F44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color w:val="auto"/>
          <w:sz w:val="24"/>
          <w:szCs w:val="24"/>
          <w:highlight w:val="none"/>
        </w:rPr>
        <w:t>5、</w:t>
      </w:r>
      <w:r>
        <w:rPr>
          <w:rFonts w:hint="eastAsia" w:ascii="Times New Roman" w:hAnsi="Times New Roman" w:eastAsia="宋体"/>
          <w:b/>
          <w:color w:val="auto"/>
          <w:sz w:val="24"/>
          <w:szCs w:val="24"/>
          <w:highlight w:val="none"/>
        </w:rPr>
        <w:t>我公司尊重磋商小组所作的评定结果，同时清楚理解到报价最低并非意味着必定获得成交资格。</w:t>
      </w:r>
    </w:p>
    <w:p w14:paraId="58857A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6</w:t>
      </w:r>
      <w:r>
        <w:rPr>
          <w:rFonts w:hint="eastAsia" w:ascii="Times New Roman" w:hAnsi="Times New Roman" w:eastAsia="宋体"/>
          <w:color w:val="auto"/>
          <w:sz w:val="24"/>
          <w:szCs w:val="24"/>
          <w:highlight w:val="none"/>
        </w:rPr>
        <w:t>、一旦成交，我方承诺无正当理由拒绝签订合同，将被贵方取消成交资格，同意贵方将磋商保证金作为违约金全额不予退还的处理。</w:t>
      </w:r>
    </w:p>
    <w:p w14:paraId="308FC1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7</w:t>
      </w:r>
      <w:r>
        <w:rPr>
          <w:rFonts w:hint="eastAsia" w:ascii="Times New Roman" w:hAnsi="Times New Roman" w:eastAsia="宋体"/>
          <w:color w:val="auto"/>
          <w:sz w:val="24"/>
          <w:szCs w:val="24"/>
          <w:highlight w:val="none"/>
        </w:rPr>
        <w:t>、</w:t>
      </w:r>
      <w:r>
        <w:rPr>
          <w:rFonts w:hint="eastAsia" w:ascii="Times New Roman" w:hAnsi="Times New Roman" w:eastAsia="宋体"/>
          <w:b/>
          <w:color w:val="auto"/>
          <w:sz w:val="24"/>
          <w:szCs w:val="24"/>
          <w:highlight w:val="none"/>
        </w:rPr>
        <w:t>一旦成交，我方将根据竞争性磋商文件的规定，严格履行合同规定的责任和义务，并保证在竞争性磋商文件中规定的时间期限内完成合同项目。</w:t>
      </w:r>
    </w:p>
    <w:p w14:paraId="5EEBBD7C">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color w:val="auto"/>
          <w:sz w:val="24"/>
          <w:szCs w:val="24"/>
          <w:highlight w:val="none"/>
        </w:rPr>
      </w:pPr>
    </w:p>
    <w:p w14:paraId="2D5797B5">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竞争性磋商响应单位：（加盖公章）</w:t>
      </w:r>
    </w:p>
    <w:p w14:paraId="5F1E5940">
      <w:pPr>
        <w:keepNext w:val="0"/>
        <w:keepLines w:val="0"/>
        <w:pageBreakBefore w:val="0"/>
        <w:widowControl w:val="0"/>
        <w:kinsoku/>
        <w:wordWrap/>
        <w:topLinePunct w:val="0"/>
        <w:autoSpaceDE/>
        <w:autoSpaceDN/>
        <w:bidi w:val="0"/>
        <w:spacing w:line="360" w:lineRule="auto"/>
        <w:ind w:firstLine="3600" w:firstLineChars="15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法定代表人：（签字或盖章）</w:t>
      </w:r>
    </w:p>
    <w:p w14:paraId="080E7D08">
      <w:pPr>
        <w:keepNext w:val="0"/>
        <w:keepLines w:val="0"/>
        <w:pageBreakBefore w:val="0"/>
        <w:widowControl w:val="0"/>
        <w:kinsoku/>
        <w:wordWrap/>
        <w:topLinePunct w:val="0"/>
        <w:autoSpaceDE/>
        <w:autoSpaceDN/>
        <w:bidi w:val="0"/>
        <w:spacing w:line="360" w:lineRule="auto"/>
        <w:ind w:firstLine="6840" w:firstLineChars="28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年月日</w:t>
      </w:r>
    </w:p>
    <w:p w14:paraId="29FDDB08">
      <w:pPr>
        <w:rPr>
          <w:rFonts w:hint="eastAsia" w:ascii="Times New Roman" w:hAnsi="Times New Roman" w:eastAsia="宋体"/>
          <w:b/>
          <w:color w:val="auto"/>
          <w:sz w:val="24"/>
          <w:szCs w:val="24"/>
          <w:highlight w:val="none"/>
          <w:lang w:val="en-US" w:eastAsia="zh-CN"/>
        </w:rPr>
      </w:pPr>
    </w:p>
    <w:p w14:paraId="0B0F1166">
      <w:pPr>
        <w:rPr>
          <w:rFonts w:hint="eastAsia"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br w:type="page"/>
      </w:r>
    </w:p>
    <w:p w14:paraId="5EFC8A36">
      <w:pPr>
        <w:jc w:val="center"/>
        <w:rPr>
          <w:rFonts w:ascii="Times New Roman" w:hAnsi="Times New Roman" w:cs="宋体"/>
          <w:b/>
          <w:color w:val="auto"/>
          <w:sz w:val="24"/>
          <w:szCs w:val="24"/>
          <w:highlight w:val="none"/>
        </w:rPr>
      </w:pPr>
      <w:r>
        <w:rPr>
          <w:rFonts w:hint="eastAsia" w:ascii="Times New Roman" w:hAnsi="Times New Roman"/>
          <w:b/>
          <w:color w:val="auto"/>
          <w:sz w:val="24"/>
          <w:szCs w:val="24"/>
          <w:highlight w:val="none"/>
          <w:lang w:val="en-US" w:eastAsia="zh-CN"/>
        </w:rPr>
        <w:t>7</w:t>
      </w:r>
      <w:r>
        <w:rPr>
          <w:rFonts w:hint="eastAsia" w:ascii="Times New Roman" w:hAnsi="Times New Roman"/>
          <w:b/>
          <w:color w:val="auto"/>
          <w:sz w:val="24"/>
          <w:szCs w:val="24"/>
          <w:highlight w:val="none"/>
        </w:rPr>
        <w:t>、</w:t>
      </w:r>
      <w:r>
        <w:rPr>
          <w:rFonts w:ascii="Times New Roman" w:hAnsi="Times New Roman"/>
          <w:b/>
          <w:bCs/>
          <w:color w:val="auto"/>
          <w:sz w:val="24"/>
          <w:szCs w:val="24"/>
          <w:highlight w:val="none"/>
        </w:rPr>
        <w:t>供应商一般情况表</w:t>
      </w:r>
    </w:p>
    <w:tbl>
      <w:tblPr>
        <w:tblStyle w:val="25"/>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040A215F">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0997F416">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企业名称</w:t>
            </w:r>
          </w:p>
        </w:tc>
        <w:tc>
          <w:tcPr>
            <w:tcW w:w="7229" w:type="dxa"/>
            <w:gridSpan w:val="8"/>
            <w:tcBorders>
              <w:top w:val="single" w:color="auto" w:sz="4" w:space="0"/>
              <w:left w:val="nil"/>
              <w:bottom w:val="single" w:color="auto" w:sz="4" w:space="0"/>
              <w:right w:val="single" w:color="auto" w:sz="4" w:space="0"/>
            </w:tcBorders>
            <w:noWrap w:val="0"/>
            <w:vAlign w:val="top"/>
          </w:tcPr>
          <w:p w14:paraId="4A6F1267">
            <w:pPr>
              <w:spacing w:line="360" w:lineRule="auto"/>
              <w:rPr>
                <w:rFonts w:ascii="Times New Roman" w:hAnsi="Times New Roman" w:cs="宋体"/>
                <w:color w:val="auto"/>
                <w:sz w:val="24"/>
                <w:szCs w:val="24"/>
                <w:highlight w:val="none"/>
              </w:rPr>
            </w:pPr>
          </w:p>
        </w:tc>
      </w:tr>
      <w:tr w14:paraId="2D06D9D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38DB13B8">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14:paraId="03F87BB1">
            <w:pPr>
              <w:spacing w:line="360" w:lineRule="auto"/>
              <w:rPr>
                <w:rFonts w:ascii="Times New Roman" w:hAnsi="Times New Roman" w:cs="宋体"/>
                <w:color w:val="auto"/>
                <w:sz w:val="24"/>
                <w:szCs w:val="24"/>
                <w:highlight w:val="none"/>
              </w:rPr>
            </w:pPr>
          </w:p>
        </w:tc>
      </w:tr>
      <w:tr w14:paraId="1741608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B88F46C">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14:paraId="7463C496">
            <w:pPr>
              <w:spacing w:line="360" w:lineRule="auto"/>
              <w:rPr>
                <w:rFonts w:ascii="Times New Roman" w:hAnsi="Times New Roman" w:cs="宋体"/>
                <w:color w:val="auto"/>
                <w:sz w:val="24"/>
                <w:szCs w:val="24"/>
                <w:highlight w:val="none"/>
              </w:rPr>
            </w:pPr>
          </w:p>
        </w:tc>
      </w:tr>
      <w:tr w14:paraId="27DF4E7F">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30A736D">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14:paraId="6CEE8DE6">
            <w:pPr>
              <w:spacing w:line="360" w:lineRule="auto"/>
              <w:rPr>
                <w:rFonts w:ascii="Times New Roman" w:hAnsi="Times New Roman" w:cs="宋体"/>
                <w:color w:val="auto"/>
                <w:sz w:val="24"/>
                <w:szCs w:val="24"/>
                <w:highlight w:val="none"/>
              </w:rPr>
            </w:pPr>
          </w:p>
        </w:tc>
      </w:tr>
      <w:tr w14:paraId="6CE3ACD2">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E117316">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电话</w:t>
            </w:r>
          </w:p>
        </w:tc>
        <w:tc>
          <w:tcPr>
            <w:tcW w:w="2408" w:type="dxa"/>
            <w:gridSpan w:val="3"/>
            <w:tcBorders>
              <w:top w:val="single" w:color="auto" w:sz="4" w:space="0"/>
              <w:left w:val="nil"/>
              <w:bottom w:val="single" w:color="auto" w:sz="4" w:space="0"/>
              <w:right w:val="single" w:color="auto" w:sz="4" w:space="0"/>
            </w:tcBorders>
            <w:noWrap w:val="0"/>
            <w:vAlign w:val="top"/>
          </w:tcPr>
          <w:p w14:paraId="3C50B9EF">
            <w:pPr>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09D3AF5D">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联系人</w:t>
            </w:r>
          </w:p>
        </w:tc>
        <w:tc>
          <w:tcPr>
            <w:tcW w:w="2946" w:type="dxa"/>
            <w:gridSpan w:val="3"/>
            <w:tcBorders>
              <w:top w:val="single" w:color="auto" w:sz="4" w:space="0"/>
              <w:left w:val="nil"/>
              <w:bottom w:val="single" w:color="auto" w:sz="4" w:space="0"/>
              <w:right w:val="single" w:color="auto" w:sz="4" w:space="0"/>
            </w:tcBorders>
            <w:noWrap w:val="0"/>
            <w:vAlign w:val="top"/>
          </w:tcPr>
          <w:p w14:paraId="338688B5">
            <w:pPr>
              <w:spacing w:line="360" w:lineRule="auto"/>
              <w:rPr>
                <w:rFonts w:ascii="Times New Roman" w:hAnsi="Times New Roman" w:cs="宋体"/>
                <w:color w:val="auto"/>
                <w:sz w:val="24"/>
                <w:szCs w:val="24"/>
                <w:highlight w:val="none"/>
              </w:rPr>
            </w:pPr>
          </w:p>
        </w:tc>
      </w:tr>
      <w:tr w14:paraId="1FC0E33E">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2127E447">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传真</w:t>
            </w:r>
          </w:p>
        </w:tc>
        <w:tc>
          <w:tcPr>
            <w:tcW w:w="2408" w:type="dxa"/>
            <w:gridSpan w:val="3"/>
            <w:tcBorders>
              <w:top w:val="single" w:color="auto" w:sz="4" w:space="0"/>
              <w:left w:val="nil"/>
              <w:bottom w:val="single" w:color="auto" w:sz="4" w:space="0"/>
              <w:right w:val="single" w:color="auto" w:sz="4" w:space="0"/>
            </w:tcBorders>
            <w:noWrap w:val="0"/>
            <w:vAlign w:val="top"/>
          </w:tcPr>
          <w:p w14:paraId="1988CDAB">
            <w:pPr>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5FBF3F37">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14:paraId="7C14C35B">
            <w:pPr>
              <w:spacing w:line="360" w:lineRule="auto"/>
              <w:rPr>
                <w:rFonts w:ascii="Times New Roman" w:hAnsi="Times New Roman" w:cs="宋体"/>
                <w:color w:val="auto"/>
                <w:sz w:val="24"/>
                <w:szCs w:val="24"/>
                <w:highlight w:val="none"/>
              </w:rPr>
            </w:pPr>
          </w:p>
        </w:tc>
      </w:tr>
      <w:tr w14:paraId="39C59AEC">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1EE8C6FD">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注册地</w:t>
            </w:r>
          </w:p>
        </w:tc>
        <w:tc>
          <w:tcPr>
            <w:tcW w:w="2408" w:type="dxa"/>
            <w:gridSpan w:val="3"/>
            <w:tcBorders>
              <w:top w:val="single" w:color="auto" w:sz="4" w:space="0"/>
              <w:left w:val="nil"/>
              <w:bottom w:val="single" w:color="auto" w:sz="4" w:space="0"/>
              <w:right w:val="single" w:color="auto" w:sz="4" w:space="0"/>
            </w:tcBorders>
            <w:noWrap w:val="0"/>
            <w:vAlign w:val="top"/>
          </w:tcPr>
          <w:p w14:paraId="2CD32C1C">
            <w:pPr>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7BE2FE5E">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14:paraId="7944468E">
            <w:pPr>
              <w:spacing w:line="360" w:lineRule="auto"/>
              <w:rPr>
                <w:rFonts w:ascii="Times New Roman" w:hAnsi="Times New Roman" w:cs="宋体"/>
                <w:color w:val="auto"/>
                <w:sz w:val="24"/>
                <w:szCs w:val="24"/>
                <w:highlight w:val="none"/>
              </w:rPr>
            </w:pPr>
          </w:p>
        </w:tc>
      </w:tr>
      <w:tr w14:paraId="5C1033E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2398A18">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资质等级</w:t>
            </w:r>
          </w:p>
        </w:tc>
        <w:tc>
          <w:tcPr>
            <w:tcW w:w="7229" w:type="dxa"/>
            <w:gridSpan w:val="8"/>
            <w:tcBorders>
              <w:top w:val="single" w:color="auto" w:sz="4" w:space="0"/>
              <w:left w:val="nil"/>
              <w:bottom w:val="single" w:color="auto" w:sz="4" w:space="0"/>
              <w:right w:val="single" w:color="auto" w:sz="4" w:space="0"/>
            </w:tcBorders>
            <w:noWrap w:val="0"/>
            <w:vAlign w:val="top"/>
          </w:tcPr>
          <w:p w14:paraId="4968E794">
            <w:pPr>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公司具备的相关资质等级及相应的证书号</w:t>
            </w:r>
          </w:p>
          <w:p w14:paraId="2565F232">
            <w:pPr>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（请附有关证书的复印件）</w:t>
            </w:r>
          </w:p>
        </w:tc>
      </w:tr>
      <w:tr w14:paraId="09A8DFA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922CA55">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质量管理体系</w:t>
            </w:r>
          </w:p>
        </w:tc>
        <w:tc>
          <w:tcPr>
            <w:tcW w:w="7229" w:type="dxa"/>
            <w:gridSpan w:val="8"/>
            <w:tcBorders>
              <w:top w:val="single" w:color="auto" w:sz="4" w:space="0"/>
              <w:left w:val="nil"/>
              <w:bottom w:val="single" w:color="auto" w:sz="4" w:space="0"/>
              <w:right w:val="single" w:color="auto" w:sz="4" w:space="0"/>
            </w:tcBorders>
            <w:noWrap w:val="0"/>
            <w:vAlign w:val="top"/>
          </w:tcPr>
          <w:p w14:paraId="78882D71">
            <w:pPr>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公司</w:t>
            </w:r>
            <w:r>
              <w:rPr>
                <w:rFonts w:hint="eastAsia" w:ascii="Times New Roman" w:hAnsi="Times New Roman" w:cs="宋体"/>
                <w:color w:val="auto"/>
                <w:sz w:val="24"/>
                <w:szCs w:val="24"/>
                <w:highlight w:val="none"/>
                <w:u w:val="single"/>
              </w:rPr>
              <w:t xml:space="preserve">   （是否通过，何种）   </w:t>
            </w:r>
            <w:r>
              <w:rPr>
                <w:rFonts w:hint="eastAsia" w:ascii="Times New Roman" w:hAnsi="Times New Roman" w:cs="宋体"/>
                <w:color w:val="auto"/>
                <w:sz w:val="24"/>
                <w:szCs w:val="24"/>
                <w:highlight w:val="none"/>
              </w:rPr>
              <w:t>质量保证体系认证（如通过请附相关在有效期内的证书复印件）</w:t>
            </w:r>
          </w:p>
        </w:tc>
      </w:tr>
      <w:tr w14:paraId="5285AB8A">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7394BEB">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14:paraId="14FD4989">
            <w:pPr>
              <w:spacing w:line="360" w:lineRule="auto"/>
              <w:jc w:val="center"/>
              <w:rPr>
                <w:rFonts w:ascii="Times New Roman" w:hAnsi="Times New Roman" w:cs="宋体"/>
                <w:color w:val="auto"/>
                <w:sz w:val="24"/>
                <w:szCs w:val="24"/>
                <w:highlight w:val="none"/>
              </w:rPr>
            </w:pPr>
          </w:p>
        </w:tc>
        <w:tc>
          <w:tcPr>
            <w:tcW w:w="1417" w:type="dxa"/>
            <w:gridSpan w:val="2"/>
            <w:tcBorders>
              <w:top w:val="single" w:color="auto" w:sz="4" w:space="0"/>
              <w:left w:val="nil"/>
              <w:bottom w:val="single" w:color="auto" w:sz="4" w:space="0"/>
              <w:right w:val="single" w:color="auto" w:sz="4" w:space="0"/>
            </w:tcBorders>
            <w:noWrap w:val="0"/>
            <w:vAlign w:val="top"/>
          </w:tcPr>
          <w:p w14:paraId="540B98AF">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年龄</w:t>
            </w:r>
          </w:p>
        </w:tc>
        <w:tc>
          <w:tcPr>
            <w:tcW w:w="1466" w:type="dxa"/>
            <w:gridSpan w:val="2"/>
            <w:tcBorders>
              <w:top w:val="single" w:color="auto" w:sz="4" w:space="0"/>
              <w:left w:val="nil"/>
              <w:bottom w:val="single" w:color="auto" w:sz="4" w:space="0"/>
              <w:right w:val="single" w:color="auto" w:sz="4" w:space="0"/>
            </w:tcBorders>
            <w:noWrap w:val="0"/>
            <w:vAlign w:val="top"/>
          </w:tcPr>
          <w:p w14:paraId="20069AC9">
            <w:pPr>
              <w:spacing w:line="360" w:lineRule="auto"/>
              <w:jc w:val="center"/>
              <w:rPr>
                <w:rFonts w:ascii="Times New Roman" w:hAnsi="Times New Roman" w:cs="宋体"/>
                <w:color w:val="auto"/>
                <w:sz w:val="24"/>
                <w:szCs w:val="24"/>
                <w:highlight w:val="none"/>
              </w:rPr>
            </w:pPr>
          </w:p>
        </w:tc>
        <w:tc>
          <w:tcPr>
            <w:tcW w:w="1320" w:type="dxa"/>
            <w:tcBorders>
              <w:top w:val="single" w:color="auto" w:sz="4" w:space="0"/>
              <w:left w:val="nil"/>
              <w:bottom w:val="single" w:color="auto" w:sz="4" w:space="0"/>
              <w:right w:val="single" w:color="auto" w:sz="4" w:space="0"/>
            </w:tcBorders>
            <w:noWrap w:val="0"/>
            <w:vAlign w:val="top"/>
          </w:tcPr>
          <w:p w14:paraId="73F75210">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性别</w:t>
            </w:r>
          </w:p>
        </w:tc>
        <w:tc>
          <w:tcPr>
            <w:tcW w:w="1467" w:type="dxa"/>
            <w:tcBorders>
              <w:top w:val="single" w:color="auto" w:sz="4" w:space="0"/>
              <w:left w:val="nil"/>
              <w:bottom w:val="single" w:color="auto" w:sz="4" w:space="0"/>
              <w:right w:val="single" w:color="auto" w:sz="4" w:space="0"/>
            </w:tcBorders>
            <w:noWrap w:val="0"/>
            <w:vAlign w:val="top"/>
          </w:tcPr>
          <w:p w14:paraId="4BCB8897">
            <w:pPr>
              <w:spacing w:line="360" w:lineRule="auto"/>
              <w:jc w:val="center"/>
              <w:rPr>
                <w:rFonts w:ascii="Times New Roman" w:hAnsi="Times New Roman" w:cs="宋体"/>
                <w:color w:val="auto"/>
                <w:sz w:val="24"/>
                <w:szCs w:val="24"/>
                <w:highlight w:val="none"/>
              </w:rPr>
            </w:pPr>
          </w:p>
        </w:tc>
      </w:tr>
      <w:tr w14:paraId="40781A40">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8B0A8C9">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14:paraId="32AD43DD">
            <w:pPr>
              <w:spacing w:line="360" w:lineRule="auto"/>
              <w:rPr>
                <w:rFonts w:ascii="Times New Roman" w:hAnsi="Times New Roman" w:cs="宋体"/>
                <w:color w:val="auto"/>
                <w:sz w:val="24"/>
                <w:szCs w:val="24"/>
                <w:highlight w:val="none"/>
              </w:rPr>
            </w:pPr>
          </w:p>
        </w:tc>
        <w:tc>
          <w:tcPr>
            <w:tcW w:w="1466" w:type="dxa"/>
            <w:gridSpan w:val="2"/>
            <w:tcBorders>
              <w:top w:val="single" w:color="auto" w:sz="4" w:space="0"/>
              <w:left w:val="nil"/>
              <w:bottom w:val="single" w:color="auto" w:sz="4" w:space="0"/>
              <w:right w:val="single" w:color="auto" w:sz="4" w:space="0"/>
            </w:tcBorders>
            <w:noWrap w:val="0"/>
            <w:vAlign w:val="top"/>
          </w:tcPr>
          <w:p w14:paraId="67B38DDD">
            <w:pPr>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14:paraId="606BB6B0">
            <w:pPr>
              <w:spacing w:line="360" w:lineRule="auto"/>
              <w:rPr>
                <w:rFonts w:ascii="Times New Roman" w:hAnsi="Times New Roman" w:cs="宋体"/>
                <w:color w:val="auto"/>
                <w:sz w:val="24"/>
                <w:szCs w:val="24"/>
                <w:highlight w:val="none"/>
              </w:rPr>
            </w:pPr>
          </w:p>
        </w:tc>
      </w:tr>
      <w:tr w14:paraId="18FA155E">
        <w:tblPrEx>
          <w:tblCellMar>
            <w:top w:w="0" w:type="dxa"/>
            <w:left w:w="108" w:type="dxa"/>
            <w:bottom w:w="0" w:type="dxa"/>
            <w:right w:w="108" w:type="dxa"/>
          </w:tblCellMar>
        </w:tblPrEx>
        <w:trPr>
          <w:cantSplit/>
          <w:trHeight w:val="223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475356B">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14:paraId="51ADCFC9">
            <w:pPr>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营业执照载明：</w:t>
            </w:r>
          </w:p>
          <w:p w14:paraId="5EE0BD47">
            <w:pPr>
              <w:spacing w:line="360" w:lineRule="auto"/>
              <w:rPr>
                <w:rFonts w:ascii="Times New Roman" w:hAnsi="Times New Roman" w:cs="宋体"/>
                <w:color w:val="auto"/>
                <w:sz w:val="24"/>
                <w:szCs w:val="24"/>
                <w:highlight w:val="none"/>
                <w:u w:val="single"/>
              </w:rPr>
            </w:pPr>
            <w:r>
              <w:rPr>
                <w:rFonts w:hint="eastAsia" w:ascii="Times New Roman" w:hAnsi="Times New Roman" w:cs="宋体"/>
                <w:color w:val="auto"/>
                <w:sz w:val="24"/>
                <w:szCs w:val="24"/>
                <w:highlight w:val="none"/>
              </w:rPr>
              <w:t>1.</w:t>
            </w:r>
          </w:p>
          <w:p w14:paraId="07B584BE">
            <w:pPr>
              <w:spacing w:line="360" w:lineRule="auto"/>
              <w:rPr>
                <w:rFonts w:ascii="Times New Roman" w:hAnsi="Times New Roman" w:cs="宋体"/>
                <w:color w:val="auto"/>
                <w:sz w:val="24"/>
                <w:szCs w:val="24"/>
                <w:highlight w:val="none"/>
                <w:u w:val="single"/>
              </w:rPr>
            </w:pPr>
            <w:r>
              <w:rPr>
                <w:rFonts w:hint="eastAsia" w:ascii="Times New Roman" w:hAnsi="Times New Roman" w:cs="宋体"/>
                <w:color w:val="auto"/>
                <w:sz w:val="24"/>
                <w:szCs w:val="24"/>
                <w:highlight w:val="none"/>
              </w:rPr>
              <w:t>2.</w:t>
            </w:r>
          </w:p>
          <w:p w14:paraId="29E64E2B">
            <w:pPr>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p>
        </w:tc>
      </w:tr>
      <w:tr w14:paraId="07352344">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2B7E6512">
            <w:pPr>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14:paraId="23470065">
            <w:pPr>
              <w:spacing w:line="360" w:lineRule="auto"/>
              <w:rPr>
                <w:rFonts w:ascii="Times New Roman" w:hAnsi="Times New Roman" w:cs="宋体"/>
                <w:color w:val="auto"/>
                <w:sz w:val="24"/>
                <w:szCs w:val="24"/>
                <w:highlight w:val="none"/>
              </w:rPr>
            </w:pPr>
          </w:p>
        </w:tc>
      </w:tr>
      <w:tr w14:paraId="2607E268">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41FE15FE">
            <w:pPr>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14:paraId="43EAD9AF">
            <w:pPr>
              <w:spacing w:line="360" w:lineRule="auto"/>
              <w:rPr>
                <w:rFonts w:ascii="Times New Roman" w:hAnsi="Times New Roman" w:cs="宋体"/>
                <w:color w:val="auto"/>
                <w:sz w:val="24"/>
                <w:szCs w:val="24"/>
                <w:highlight w:val="none"/>
              </w:rPr>
            </w:pPr>
          </w:p>
        </w:tc>
      </w:tr>
    </w:tbl>
    <w:p w14:paraId="1498CB8B">
      <w:pPr>
        <w:spacing w:line="360" w:lineRule="auto"/>
        <w:ind w:firstLine="480" w:firstLineChars="20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供应商：（加盖公章）</w:t>
      </w:r>
    </w:p>
    <w:p w14:paraId="68FA0755">
      <w:pPr>
        <w:spacing w:line="360" w:lineRule="auto"/>
        <w:ind w:firstLine="480" w:firstLineChars="20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法定代表人或被授权人：（签字或盖章）</w:t>
      </w:r>
    </w:p>
    <w:p w14:paraId="37205B1E">
      <w:pPr>
        <w:spacing w:line="360" w:lineRule="auto"/>
        <w:ind w:firstLine="1320" w:firstLineChars="55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年      月     日</w:t>
      </w:r>
    </w:p>
    <w:p w14:paraId="75556BD6">
      <w:pPr>
        <w:rPr>
          <w:rFonts w:hint="eastAsia" w:ascii="Times New Roman" w:hAnsi="Times New Roman" w:eastAsia="宋体"/>
          <w:b/>
          <w:color w:val="auto"/>
          <w:sz w:val="24"/>
          <w:szCs w:val="24"/>
          <w:highlight w:val="none"/>
          <w:lang w:val="en-US" w:eastAsia="zh-CN"/>
        </w:rPr>
      </w:pPr>
    </w:p>
    <w:p w14:paraId="7371FE56">
      <w:pPr>
        <w:rPr>
          <w:rFonts w:ascii="Times New Roman" w:hAnsi="Times New Roman" w:eastAsia="宋体"/>
          <w:color w:val="auto"/>
          <w:sz w:val="24"/>
          <w:szCs w:val="24"/>
          <w:highlight w:val="none"/>
        </w:rPr>
      </w:pPr>
      <w:r>
        <w:rPr>
          <w:rFonts w:hint="eastAsia" w:ascii="Times New Roman" w:hAnsi="Times New Roman" w:eastAsia="宋体"/>
          <w:b/>
          <w:color w:val="auto"/>
          <w:sz w:val="24"/>
          <w:szCs w:val="24"/>
          <w:highlight w:val="none"/>
          <w:lang w:val="en-US" w:eastAsia="zh-CN"/>
        </w:rPr>
        <w:br w:type="page"/>
      </w:r>
    </w:p>
    <w:p w14:paraId="58B09442">
      <w:pPr>
        <w:spacing w:line="360" w:lineRule="auto"/>
        <w:jc w:val="center"/>
        <w:outlineLvl w:val="3"/>
        <w:rPr>
          <w:rFonts w:ascii="宋体" w:hAnsi="宋体"/>
          <w:b/>
          <w:color w:val="auto"/>
          <w:sz w:val="24"/>
          <w:szCs w:val="24"/>
          <w:highlight w:val="none"/>
        </w:rPr>
      </w:pPr>
      <w:r>
        <w:rPr>
          <w:rFonts w:hint="eastAsia" w:ascii="Times New Roman" w:hAnsi="Times New Roman"/>
          <w:b/>
          <w:bCs/>
          <w:color w:val="auto"/>
          <w:sz w:val="24"/>
          <w:szCs w:val="21"/>
          <w:highlight w:val="none"/>
          <w:lang w:val="en-US" w:eastAsia="zh-CN"/>
        </w:rPr>
        <w:t>8</w:t>
      </w:r>
      <w:r>
        <w:rPr>
          <w:rFonts w:hint="eastAsia" w:ascii="Times New Roman" w:hAnsi="Times New Roman"/>
          <w:b/>
          <w:bCs/>
          <w:color w:val="auto"/>
          <w:sz w:val="24"/>
          <w:szCs w:val="21"/>
          <w:highlight w:val="none"/>
        </w:rPr>
        <w:t>、技术部分正负偏离表</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43"/>
        <w:gridCol w:w="1455"/>
        <w:gridCol w:w="2220"/>
        <w:gridCol w:w="2720"/>
        <w:gridCol w:w="1417"/>
      </w:tblGrid>
      <w:tr w14:paraId="4D566E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jc w:val="center"/>
        </w:trPr>
        <w:tc>
          <w:tcPr>
            <w:tcW w:w="943" w:type="dxa"/>
            <w:tcBorders>
              <w:top w:val="single" w:color="000000" w:sz="12" w:space="0"/>
              <w:left w:val="single" w:color="000000" w:sz="12" w:space="0"/>
              <w:bottom w:val="single" w:color="000000" w:sz="6" w:space="0"/>
              <w:right w:val="single" w:color="000000" w:sz="6" w:space="0"/>
            </w:tcBorders>
            <w:noWrap w:val="0"/>
            <w:vAlign w:val="center"/>
          </w:tcPr>
          <w:p w14:paraId="3A9F38E2">
            <w:pPr>
              <w:spacing w:line="360" w:lineRule="auto"/>
              <w:jc w:val="center"/>
              <w:rPr>
                <w:rFonts w:cs="宋体"/>
                <w:color w:val="auto"/>
                <w:sz w:val="24"/>
                <w:szCs w:val="24"/>
                <w:highlight w:val="none"/>
              </w:rPr>
            </w:pPr>
            <w:r>
              <w:rPr>
                <w:rFonts w:hint="eastAsia" w:cs="宋体"/>
                <w:color w:val="auto"/>
                <w:sz w:val="24"/>
                <w:szCs w:val="24"/>
                <w:highlight w:val="none"/>
              </w:rPr>
              <w:t>序号</w:t>
            </w:r>
          </w:p>
        </w:tc>
        <w:tc>
          <w:tcPr>
            <w:tcW w:w="1455" w:type="dxa"/>
            <w:tcBorders>
              <w:top w:val="single" w:color="000000" w:sz="12" w:space="0"/>
              <w:left w:val="single" w:color="000000" w:sz="6" w:space="0"/>
              <w:bottom w:val="single" w:color="000000" w:sz="6" w:space="0"/>
              <w:right w:val="single" w:color="000000" w:sz="6" w:space="0"/>
            </w:tcBorders>
            <w:noWrap w:val="0"/>
            <w:vAlign w:val="center"/>
          </w:tcPr>
          <w:p w14:paraId="7A798ECD">
            <w:pPr>
              <w:spacing w:line="360" w:lineRule="auto"/>
              <w:jc w:val="center"/>
              <w:rPr>
                <w:rFonts w:cs="宋体"/>
                <w:color w:val="auto"/>
                <w:sz w:val="24"/>
                <w:szCs w:val="24"/>
                <w:highlight w:val="none"/>
              </w:rPr>
            </w:pPr>
            <w:r>
              <w:rPr>
                <w:rFonts w:hint="eastAsia" w:cs="宋体"/>
                <w:color w:val="auto"/>
                <w:sz w:val="24"/>
                <w:szCs w:val="24"/>
                <w:highlight w:val="none"/>
              </w:rPr>
              <w:t>货物或服务名称</w:t>
            </w:r>
          </w:p>
        </w:tc>
        <w:tc>
          <w:tcPr>
            <w:tcW w:w="2220" w:type="dxa"/>
            <w:tcBorders>
              <w:top w:val="single" w:color="000000" w:sz="12" w:space="0"/>
              <w:left w:val="single" w:color="000000" w:sz="6" w:space="0"/>
              <w:bottom w:val="single" w:color="000000" w:sz="6" w:space="0"/>
              <w:right w:val="single" w:color="000000" w:sz="6" w:space="0"/>
            </w:tcBorders>
            <w:noWrap w:val="0"/>
            <w:vAlign w:val="center"/>
          </w:tcPr>
          <w:p w14:paraId="44B616B8">
            <w:pPr>
              <w:spacing w:line="360" w:lineRule="auto"/>
              <w:ind w:firstLine="480"/>
              <w:jc w:val="center"/>
              <w:rPr>
                <w:rFonts w:cs="宋体"/>
                <w:color w:val="auto"/>
                <w:sz w:val="24"/>
                <w:szCs w:val="24"/>
                <w:highlight w:val="none"/>
              </w:rPr>
            </w:pPr>
            <w:r>
              <w:rPr>
                <w:rFonts w:hint="eastAsia" w:cs="宋体"/>
                <w:color w:val="auto"/>
                <w:sz w:val="24"/>
                <w:szCs w:val="24"/>
                <w:highlight w:val="none"/>
              </w:rPr>
              <w:t>磋商文件要求</w:t>
            </w:r>
          </w:p>
        </w:tc>
        <w:tc>
          <w:tcPr>
            <w:tcW w:w="2720" w:type="dxa"/>
            <w:tcBorders>
              <w:top w:val="single" w:color="000000" w:sz="12" w:space="0"/>
              <w:left w:val="single" w:color="000000" w:sz="6" w:space="0"/>
              <w:bottom w:val="single" w:color="000000" w:sz="6" w:space="0"/>
              <w:right w:val="single" w:color="000000" w:sz="6" w:space="0"/>
            </w:tcBorders>
            <w:noWrap w:val="0"/>
            <w:vAlign w:val="center"/>
          </w:tcPr>
          <w:p w14:paraId="2DB26E88">
            <w:pPr>
              <w:spacing w:line="360" w:lineRule="auto"/>
              <w:jc w:val="center"/>
              <w:rPr>
                <w:rFonts w:cs="宋体"/>
                <w:color w:val="auto"/>
                <w:sz w:val="24"/>
                <w:szCs w:val="24"/>
                <w:highlight w:val="none"/>
              </w:rPr>
            </w:pPr>
            <w:r>
              <w:rPr>
                <w:rFonts w:hint="eastAsia" w:cs="宋体"/>
                <w:color w:val="auto"/>
                <w:sz w:val="24"/>
                <w:szCs w:val="24"/>
                <w:highlight w:val="none"/>
              </w:rPr>
              <w:t>响应文件响应情况</w:t>
            </w:r>
          </w:p>
        </w:tc>
        <w:tc>
          <w:tcPr>
            <w:tcW w:w="1417" w:type="dxa"/>
            <w:tcBorders>
              <w:top w:val="single" w:color="000000" w:sz="12" w:space="0"/>
              <w:left w:val="single" w:color="000000" w:sz="6" w:space="0"/>
              <w:bottom w:val="single" w:color="000000" w:sz="6" w:space="0"/>
              <w:right w:val="single" w:color="000000" w:sz="12" w:space="0"/>
            </w:tcBorders>
            <w:noWrap w:val="0"/>
            <w:vAlign w:val="center"/>
          </w:tcPr>
          <w:p w14:paraId="61A21FD4">
            <w:pPr>
              <w:spacing w:line="360" w:lineRule="auto"/>
              <w:jc w:val="center"/>
              <w:rPr>
                <w:rFonts w:cs="宋体"/>
                <w:color w:val="auto"/>
                <w:sz w:val="24"/>
                <w:szCs w:val="24"/>
                <w:highlight w:val="none"/>
              </w:rPr>
            </w:pPr>
            <w:r>
              <w:rPr>
                <w:rFonts w:hint="eastAsia" w:cs="宋体"/>
                <w:color w:val="auto"/>
                <w:sz w:val="24"/>
                <w:szCs w:val="24"/>
                <w:highlight w:val="none"/>
              </w:rPr>
              <w:t>偏离说明</w:t>
            </w:r>
          </w:p>
        </w:tc>
      </w:tr>
      <w:tr w14:paraId="567F62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943" w:type="dxa"/>
            <w:tcBorders>
              <w:top w:val="single" w:color="000000" w:sz="6" w:space="0"/>
              <w:left w:val="single" w:color="000000" w:sz="12" w:space="0"/>
              <w:bottom w:val="single" w:color="000000" w:sz="6" w:space="0"/>
              <w:right w:val="single" w:color="000000" w:sz="6" w:space="0"/>
            </w:tcBorders>
            <w:noWrap w:val="0"/>
            <w:vAlign w:val="center"/>
          </w:tcPr>
          <w:p w14:paraId="4BC2548B">
            <w:pPr>
              <w:spacing w:line="360" w:lineRule="auto"/>
              <w:jc w:val="center"/>
              <w:rPr>
                <w:rFonts w:cs="宋体"/>
                <w:color w:val="auto"/>
                <w:sz w:val="24"/>
                <w:szCs w:val="24"/>
                <w:highlight w:val="none"/>
              </w:rPr>
            </w:pPr>
            <w:r>
              <w:rPr>
                <w:rFonts w:hint="eastAsia" w:cs="宋体"/>
                <w:color w:val="auto"/>
                <w:sz w:val="24"/>
                <w:szCs w:val="24"/>
                <w:highlight w:val="none"/>
              </w:rPr>
              <w:t>1</w:t>
            </w:r>
          </w:p>
        </w:tc>
        <w:tc>
          <w:tcPr>
            <w:tcW w:w="1455" w:type="dxa"/>
            <w:tcBorders>
              <w:top w:val="single" w:color="000000" w:sz="6" w:space="0"/>
              <w:left w:val="single" w:color="000000" w:sz="6" w:space="0"/>
              <w:bottom w:val="single" w:color="000000" w:sz="6" w:space="0"/>
              <w:right w:val="single" w:color="000000" w:sz="6" w:space="0"/>
            </w:tcBorders>
            <w:noWrap w:val="0"/>
            <w:vAlign w:val="center"/>
          </w:tcPr>
          <w:p w14:paraId="475AD751">
            <w:pPr>
              <w:spacing w:line="360" w:lineRule="auto"/>
              <w:ind w:firstLine="480"/>
              <w:jc w:val="center"/>
              <w:rPr>
                <w:rFonts w:cs="宋体"/>
                <w:color w:val="auto"/>
                <w:sz w:val="24"/>
                <w:szCs w:val="24"/>
                <w:highlight w:val="none"/>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424B45A0">
            <w:pPr>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29FAF1DA">
            <w:pPr>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544C003A">
            <w:pPr>
              <w:spacing w:line="360" w:lineRule="auto"/>
              <w:ind w:firstLine="480"/>
              <w:jc w:val="center"/>
              <w:rPr>
                <w:rFonts w:cs="宋体"/>
                <w:color w:val="auto"/>
                <w:sz w:val="24"/>
                <w:szCs w:val="24"/>
                <w:highlight w:val="none"/>
              </w:rPr>
            </w:pPr>
          </w:p>
        </w:tc>
      </w:tr>
      <w:tr w14:paraId="5F606B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943" w:type="dxa"/>
            <w:tcBorders>
              <w:top w:val="single" w:color="000000" w:sz="6" w:space="0"/>
              <w:left w:val="single" w:color="000000" w:sz="12" w:space="0"/>
              <w:bottom w:val="single" w:color="000000" w:sz="6" w:space="0"/>
              <w:right w:val="single" w:color="000000" w:sz="6" w:space="0"/>
            </w:tcBorders>
            <w:noWrap w:val="0"/>
            <w:vAlign w:val="center"/>
          </w:tcPr>
          <w:p w14:paraId="5CA98082">
            <w:pPr>
              <w:spacing w:line="360" w:lineRule="auto"/>
              <w:jc w:val="center"/>
              <w:rPr>
                <w:rFonts w:cs="宋体"/>
                <w:color w:val="auto"/>
                <w:sz w:val="24"/>
                <w:szCs w:val="24"/>
                <w:highlight w:val="none"/>
              </w:rPr>
            </w:pPr>
            <w:r>
              <w:rPr>
                <w:rFonts w:hint="eastAsia" w:cs="宋体"/>
                <w:color w:val="auto"/>
                <w:sz w:val="24"/>
                <w:szCs w:val="24"/>
                <w:highlight w:val="none"/>
              </w:rPr>
              <w:t>2</w:t>
            </w:r>
          </w:p>
        </w:tc>
        <w:tc>
          <w:tcPr>
            <w:tcW w:w="1455" w:type="dxa"/>
            <w:tcBorders>
              <w:top w:val="single" w:color="000000" w:sz="6" w:space="0"/>
              <w:left w:val="single" w:color="000000" w:sz="6" w:space="0"/>
              <w:bottom w:val="single" w:color="000000" w:sz="6" w:space="0"/>
              <w:right w:val="single" w:color="000000" w:sz="6" w:space="0"/>
            </w:tcBorders>
            <w:noWrap w:val="0"/>
            <w:vAlign w:val="center"/>
          </w:tcPr>
          <w:p w14:paraId="0E8C6D23">
            <w:pPr>
              <w:spacing w:line="360" w:lineRule="auto"/>
              <w:ind w:firstLine="480"/>
              <w:jc w:val="center"/>
              <w:rPr>
                <w:rFonts w:cs="宋体"/>
                <w:color w:val="auto"/>
                <w:sz w:val="24"/>
                <w:szCs w:val="24"/>
                <w:highlight w:val="none"/>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798CCAA4">
            <w:pPr>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616C015A">
            <w:pPr>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53E64494">
            <w:pPr>
              <w:spacing w:line="360" w:lineRule="auto"/>
              <w:ind w:firstLine="480"/>
              <w:jc w:val="center"/>
              <w:rPr>
                <w:rFonts w:cs="宋体"/>
                <w:color w:val="auto"/>
                <w:sz w:val="24"/>
                <w:szCs w:val="24"/>
                <w:highlight w:val="none"/>
              </w:rPr>
            </w:pPr>
          </w:p>
        </w:tc>
      </w:tr>
      <w:tr w14:paraId="5B392D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943" w:type="dxa"/>
            <w:tcBorders>
              <w:top w:val="single" w:color="000000" w:sz="6" w:space="0"/>
              <w:left w:val="single" w:color="000000" w:sz="12" w:space="0"/>
              <w:bottom w:val="single" w:color="000000" w:sz="6" w:space="0"/>
              <w:right w:val="single" w:color="000000" w:sz="6" w:space="0"/>
            </w:tcBorders>
            <w:noWrap w:val="0"/>
            <w:vAlign w:val="center"/>
          </w:tcPr>
          <w:p w14:paraId="2627D793">
            <w:pPr>
              <w:spacing w:line="360" w:lineRule="auto"/>
              <w:jc w:val="center"/>
              <w:rPr>
                <w:rFonts w:cs="宋体"/>
                <w:color w:val="auto"/>
                <w:sz w:val="24"/>
                <w:szCs w:val="24"/>
                <w:highlight w:val="none"/>
              </w:rPr>
            </w:pPr>
            <w:r>
              <w:rPr>
                <w:rFonts w:hint="eastAsia" w:cs="宋体"/>
                <w:color w:val="auto"/>
                <w:sz w:val="24"/>
                <w:szCs w:val="24"/>
                <w:highlight w:val="none"/>
              </w:rPr>
              <w:t>3</w:t>
            </w:r>
          </w:p>
        </w:tc>
        <w:tc>
          <w:tcPr>
            <w:tcW w:w="1455" w:type="dxa"/>
            <w:tcBorders>
              <w:top w:val="single" w:color="000000" w:sz="6" w:space="0"/>
              <w:left w:val="single" w:color="000000" w:sz="6" w:space="0"/>
              <w:bottom w:val="single" w:color="000000" w:sz="6" w:space="0"/>
              <w:right w:val="single" w:color="000000" w:sz="6" w:space="0"/>
            </w:tcBorders>
            <w:noWrap w:val="0"/>
            <w:vAlign w:val="center"/>
          </w:tcPr>
          <w:p w14:paraId="36557D0A">
            <w:pPr>
              <w:spacing w:line="360" w:lineRule="auto"/>
              <w:ind w:firstLine="480"/>
              <w:jc w:val="center"/>
              <w:rPr>
                <w:rFonts w:cs="宋体"/>
                <w:color w:val="auto"/>
                <w:sz w:val="24"/>
                <w:szCs w:val="24"/>
                <w:highlight w:val="none"/>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79430CB1">
            <w:pPr>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6CAED5E8">
            <w:pPr>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633686DD">
            <w:pPr>
              <w:spacing w:line="360" w:lineRule="auto"/>
              <w:ind w:firstLine="480"/>
              <w:jc w:val="center"/>
              <w:rPr>
                <w:rFonts w:cs="宋体"/>
                <w:color w:val="auto"/>
                <w:sz w:val="24"/>
                <w:szCs w:val="24"/>
                <w:highlight w:val="none"/>
              </w:rPr>
            </w:pPr>
          </w:p>
        </w:tc>
      </w:tr>
      <w:tr w14:paraId="4AD420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943" w:type="dxa"/>
            <w:tcBorders>
              <w:top w:val="single" w:color="000000" w:sz="6" w:space="0"/>
              <w:left w:val="single" w:color="000000" w:sz="12" w:space="0"/>
              <w:bottom w:val="single" w:color="000000" w:sz="6" w:space="0"/>
              <w:right w:val="single" w:color="000000" w:sz="6" w:space="0"/>
            </w:tcBorders>
            <w:noWrap w:val="0"/>
            <w:vAlign w:val="center"/>
          </w:tcPr>
          <w:p w14:paraId="439D7447">
            <w:pPr>
              <w:spacing w:line="360" w:lineRule="auto"/>
              <w:ind w:firstLine="480"/>
              <w:jc w:val="center"/>
              <w:rPr>
                <w:rFonts w:cs="宋体"/>
                <w:color w:val="auto"/>
                <w:sz w:val="24"/>
                <w:szCs w:val="24"/>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14:paraId="7FC562E4">
            <w:pPr>
              <w:spacing w:line="360" w:lineRule="auto"/>
              <w:ind w:firstLine="480"/>
              <w:jc w:val="center"/>
              <w:rPr>
                <w:rFonts w:cs="宋体"/>
                <w:color w:val="auto"/>
                <w:sz w:val="24"/>
                <w:szCs w:val="24"/>
                <w:highlight w:val="none"/>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004D38D5">
            <w:pPr>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1AC42E36">
            <w:pPr>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4F07219D">
            <w:pPr>
              <w:spacing w:line="360" w:lineRule="auto"/>
              <w:ind w:firstLine="480"/>
              <w:jc w:val="center"/>
              <w:rPr>
                <w:rFonts w:cs="宋体"/>
                <w:color w:val="auto"/>
                <w:sz w:val="24"/>
                <w:szCs w:val="24"/>
                <w:highlight w:val="none"/>
              </w:rPr>
            </w:pPr>
          </w:p>
        </w:tc>
      </w:tr>
    </w:tbl>
    <w:p w14:paraId="670C64CB">
      <w:pPr>
        <w:spacing w:line="360" w:lineRule="auto"/>
        <w:rPr>
          <w:rFonts w:ascii="宋体" w:hAnsi="宋体"/>
          <w:color w:val="auto"/>
          <w:sz w:val="24"/>
          <w:szCs w:val="24"/>
          <w:highlight w:val="none"/>
        </w:rPr>
      </w:pPr>
    </w:p>
    <w:p w14:paraId="1CB29C14">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响应供应商：（盖章）             </w:t>
      </w:r>
    </w:p>
    <w:p w14:paraId="66F93DE1">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法定代表人或被授权人（签字或盖章）：</w:t>
      </w:r>
    </w:p>
    <w:p w14:paraId="708E17FE">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日期：</w:t>
      </w:r>
    </w:p>
    <w:p w14:paraId="6BE3E12C">
      <w:pPr>
        <w:spacing w:line="360" w:lineRule="auto"/>
        <w:rPr>
          <w:rFonts w:ascii="宋体" w:hAnsi="宋体"/>
          <w:color w:val="auto"/>
          <w:sz w:val="24"/>
          <w:szCs w:val="24"/>
          <w:highlight w:val="none"/>
        </w:rPr>
      </w:pPr>
    </w:p>
    <w:p w14:paraId="31A1DDC1">
      <w:pPr>
        <w:spacing w:line="360" w:lineRule="auto"/>
        <w:rPr>
          <w:rFonts w:ascii="宋体" w:hAnsi="宋体"/>
          <w:color w:val="auto"/>
          <w:sz w:val="24"/>
          <w:szCs w:val="24"/>
          <w:highlight w:val="none"/>
        </w:rPr>
      </w:pPr>
    </w:p>
    <w:p w14:paraId="099D12AE">
      <w:pPr>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rPr>
        <w:t>注：</w:t>
      </w:r>
      <w:r>
        <w:rPr>
          <w:rFonts w:hint="eastAsia" w:ascii="宋体" w:hAnsi="宋体"/>
          <w:color w:val="auto"/>
          <w:sz w:val="24"/>
          <w:szCs w:val="24"/>
          <w:highlight w:val="none"/>
          <w:lang w:val="zh-CN"/>
        </w:rPr>
        <w:t>1、供应商提交的响应文件中与采购文件第三部分“项目需求说明”中技术部分的要求有不同时，应逐条填列在偏离表中，否则将认为供应商接受采购文件的所有要求。完全响应部分不填到此表中。</w:t>
      </w:r>
    </w:p>
    <w:p w14:paraId="4FEB5B78">
      <w:pPr>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2、“偏离说明”一栏选择“正偏离”、“负偏离”进行填写。正偏离的确认和负偏离的是否响应采购文件，经三分之二评委认定。</w:t>
      </w:r>
    </w:p>
    <w:p w14:paraId="4B0826F3">
      <w:pPr>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3、供应商如果虚假响应，将承担被暂停参加采购人采购活动的风险。</w:t>
      </w:r>
    </w:p>
    <w:p w14:paraId="3EF73CB2">
      <w:pPr>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4、供应商若提供其他增值服务，可以在表中自行据实填写。</w:t>
      </w:r>
    </w:p>
    <w:p w14:paraId="5989D276">
      <w:pPr>
        <w:spacing w:line="360" w:lineRule="auto"/>
        <w:ind w:firstLine="480"/>
        <w:rPr>
          <w:rFonts w:ascii="宋体" w:hAnsi="宋体"/>
          <w:color w:val="auto"/>
          <w:sz w:val="24"/>
          <w:szCs w:val="24"/>
          <w:highlight w:val="none"/>
        </w:rPr>
      </w:pPr>
    </w:p>
    <w:p w14:paraId="1A86F656">
      <w:pPr>
        <w:spacing w:line="360" w:lineRule="auto"/>
        <w:jc w:val="center"/>
        <w:outlineLvl w:val="3"/>
        <w:rPr>
          <w:rFonts w:ascii="宋体" w:hAnsi="宋体"/>
          <w:b/>
          <w:color w:val="auto"/>
          <w:sz w:val="32"/>
          <w:szCs w:val="32"/>
          <w:highlight w:val="none"/>
        </w:rPr>
      </w:pPr>
      <w:r>
        <w:rPr>
          <w:rFonts w:ascii="宋体" w:hAnsi="宋体"/>
          <w:color w:val="auto"/>
          <w:sz w:val="24"/>
          <w:szCs w:val="24"/>
          <w:highlight w:val="none"/>
        </w:rPr>
        <w:br w:type="page" w:clear="all"/>
      </w:r>
      <w:r>
        <w:rPr>
          <w:rFonts w:hint="eastAsia" w:ascii="Times New Roman" w:hAnsi="Times New Roman"/>
          <w:b/>
          <w:bCs/>
          <w:color w:val="auto"/>
          <w:sz w:val="24"/>
          <w:szCs w:val="21"/>
          <w:highlight w:val="none"/>
          <w:lang w:val="en-US" w:eastAsia="zh-CN"/>
        </w:rPr>
        <w:t>9</w:t>
      </w:r>
      <w:r>
        <w:rPr>
          <w:rFonts w:hint="eastAsia" w:ascii="Times New Roman" w:hAnsi="Times New Roman"/>
          <w:b/>
          <w:bCs/>
          <w:color w:val="auto"/>
          <w:sz w:val="24"/>
          <w:szCs w:val="21"/>
          <w:highlight w:val="none"/>
        </w:rPr>
        <w:t>、商务部分正负偏离表</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59"/>
        <w:gridCol w:w="1496"/>
        <w:gridCol w:w="2163"/>
        <w:gridCol w:w="2720"/>
        <w:gridCol w:w="1417"/>
      </w:tblGrid>
      <w:tr w14:paraId="182910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jc w:val="center"/>
        </w:trPr>
        <w:tc>
          <w:tcPr>
            <w:tcW w:w="959" w:type="dxa"/>
            <w:tcBorders>
              <w:top w:val="single" w:color="000000" w:sz="12" w:space="0"/>
              <w:left w:val="single" w:color="000000" w:sz="12" w:space="0"/>
              <w:bottom w:val="single" w:color="000000" w:sz="6" w:space="0"/>
              <w:right w:val="single" w:color="000000" w:sz="6" w:space="0"/>
            </w:tcBorders>
            <w:noWrap w:val="0"/>
            <w:vAlign w:val="center"/>
          </w:tcPr>
          <w:p w14:paraId="7B220D85">
            <w:pPr>
              <w:spacing w:line="360" w:lineRule="auto"/>
              <w:jc w:val="center"/>
              <w:rPr>
                <w:rFonts w:cs="宋体"/>
                <w:color w:val="auto"/>
                <w:sz w:val="24"/>
                <w:szCs w:val="24"/>
                <w:highlight w:val="none"/>
              </w:rPr>
            </w:pPr>
            <w:r>
              <w:rPr>
                <w:rFonts w:hint="eastAsia" w:cs="宋体"/>
                <w:color w:val="auto"/>
                <w:sz w:val="24"/>
                <w:szCs w:val="24"/>
                <w:highlight w:val="none"/>
              </w:rPr>
              <w:t>序号</w:t>
            </w:r>
          </w:p>
        </w:tc>
        <w:tc>
          <w:tcPr>
            <w:tcW w:w="1496" w:type="dxa"/>
            <w:tcBorders>
              <w:top w:val="single" w:color="000000" w:sz="12" w:space="0"/>
              <w:left w:val="single" w:color="000000" w:sz="6" w:space="0"/>
              <w:bottom w:val="single" w:color="000000" w:sz="6" w:space="0"/>
              <w:right w:val="single" w:color="000000" w:sz="6" w:space="0"/>
            </w:tcBorders>
            <w:noWrap w:val="0"/>
            <w:vAlign w:val="center"/>
          </w:tcPr>
          <w:p w14:paraId="329EA446">
            <w:pPr>
              <w:spacing w:line="360" w:lineRule="auto"/>
              <w:jc w:val="center"/>
              <w:rPr>
                <w:rFonts w:cs="宋体"/>
                <w:color w:val="auto"/>
                <w:sz w:val="24"/>
                <w:szCs w:val="24"/>
                <w:highlight w:val="none"/>
              </w:rPr>
            </w:pPr>
            <w:r>
              <w:rPr>
                <w:rFonts w:hint="eastAsia" w:cs="宋体"/>
                <w:color w:val="auto"/>
                <w:sz w:val="24"/>
                <w:szCs w:val="24"/>
                <w:highlight w:val="none"/>
              </w:rPr>
              <w:t>货物或服务名称</w:t>
            </w:r>
          </w:p>
        </w:tc>
        <w:tc>
          <w:tcPr>
            <w:tcW w:w="2163" w:type="dxa"/>
            <w:tcBorders>
              <w:top w:val="single" w:color="000000" w:sz="12" w:space="0"/>
              <w:left w:val="single" w:color="000000" w:sz="6" w:space="0"/>
              <w:bottom w:val="single" w:color="000000" w:sz="6" w:space="0"/>
              <w:right w:val="single" w:color="000000" w:sz="6" w:space="0"/>
            </w:tcBorders>
            <w:noWrap w:val="0"/>
            <w:vAlign w:val="center"/>
          </w:tcPr>
          <w:p w14:paraId="39346240">
            <w:pPr>
              <w:spacing w:line="360" w:lineRule="auto"/>
              <w:ind w:firstLine="480"/>
              <w:jc w:val="center"/>
              <w:rPr>
                <w:rFonts w:cs="宋体"/>
                <w:color w:val="auto"/>
                <w:sz w:val="24"/>
                <w:szCs w:val="24"/>
                <w:highlight w:val="none"/>
              </w:rPr>
            </w:pPr>
            <w:r>
              <w:rPr>
                <w:rFonts w:hint="eastAsia" w:cs="宋体"/>
                <w:color w:val="auto"/>
                <w:sz w:val="24"/>
                <w:szCs w:val="24"/>
                <w:highlight w:val="none"/>
              </w:rPr>
              <w:t>磋商文件要求</w:t>
            </w:r>
          </w:p>
        </w:tc>
        <w:tc>
          <w:tcPr>
            <w:tcW w:w="2720" w:type="dxa"/>
            <w:tcBorders>
              <w:top w:val="single" w:color="000000" w:sz="12" w:space="0"/>
              <w:left w:val="single" w:color="000000" w:sz="6" w:space="0"/>
              <w:bottom w:val="single" w:color="000000" w:sz="6" w:space="0"/>
              <w:right w:val="single" w:color="000000" w:sz="6" w:space="0"/>
            </w:tcBorders>
            <w:noWrap w:val="0"/>
            <w:vAlign w:val="center"/>
          </w:tcPr>
          <w:p w14:paraId="53005CDC">
            <w:pPr>
              <w:spacing w:line="360" w:lineRule="auto"/>
              <w:jc w:val="center"/>
              <w:rPr>
                <w:rFonts w:cs="宋体"/>
                <w:color w:val="auto"/>
                <w:sz w:val="24"/>
                <w:szCs w:val="24"/>
                <w:highlight w:val="none"/>
              </w:rPr>
            </w:pPr>
            <w:r>
              <w:rPr>
                <w:rFonts w:hint="eastAsia" w:cs="宋体"/>
                <w:color w:val="auto"/>
                <w:sz w:val="24"/>
                <w:szCs w:val="24"/>
                <w:highlight w:val="none"/>
              </w:rPr>
              <w:t>响应文件响应情况</w:t>
            </w:r>
          </w:p>
        </w:tc>
        <w:tc>
          <w:tcPr>
            <w:tcW w:w="1417" w:type="dxa"/>
            <w:tcBorders>
              <w:top w:val="single" w:color="000000" w:sz="12" w:space="0"/>
              <w:left w:val="single" w:color="000000" w:sz="6" w:space="0"/>
              <w:bottom w:val="single" w:color="000000" w:sz="6" w:space="0"/>
              <w:right w:val="single" w:color="000000" w:sz="12" w:space="0"/>
            </w:tcBorders>
            <w:noWrap w:val="0"/>
            <w:vAlign w:val="center"/>
          </w:tcPr>
          <w:p w14:paraId="6B65853A">
            <w:pPr>
              <w:spacing w:line="360" w:lineRule="auto"/>
              <w:jc w:val="center"/>
              <w:rPr>
                <w:rFonts w:cs="宋体"/>
                <w:color w:val="auto"/>
                <w:sz w:val="24"/>
                <w:szCs w:val="24"/>
                <w:highlight w:val="none"/>
              </w:rPr>
            </w:pPr>
            <w:r>
              <w:rPr>
                <w:rFonts w:hint="eastAsia" w:cs="宋体"/>
                <w:color w:val="auto"/>
                <w:sz w:val="24"/>
                <w:szCs w:val="24"/>
                <w:highlight w:val="none"/>
              </w:rPr>
              <w:t>偏离说明</w:t>
            </w:r>
          </w:p>
        </w:tc>
      </w:tr>
      <w:tr w14:paraId="540674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959" w:type="dxa"/>
            <w:tcBorders>
              <w:top w:val="single" w:color="000000" w:sz="6" w:space="0"/>
              <w:left w:val="single" w:color="000000" w:sz="12" w:space="0"/>
              <w:bottom w:val="single" w:color="000000" w:sz="6" w:space="0"/>
              <w:right w:val="single" w:color="000000" w:sz="6" w:space="0"/>
            </w:tcBorders>
            <w:noWrap w:val="0"/>
            <w:vAlign w:val="center"/>
          </w:tcPr>
          <w:p w14:paraId="5B85A2CA">
            <w:pPr>
              <w:spacing w:line="360" w:lineRule="auto"/>
              <w:jc w:val="center"/>
              <w:rPr>
                <w:rFonts w:cs="宋体"/>
                <w:color w:val="auto"/>
                <w:sz w:val="24"/>
                <w:szCs w:val="24"/>
                <w:highlight w:val="none"/>
              </w:rPr>
            </w:pPr>
            <w:r>
              <w:rPr>
                <w:rFonts w:hint="eastAsia" w:cs="宋体"/>
                <w:color w:val="auto"/>
                <w:sz w:val="24"/>
                <w:szCs w:val="24"/>
                <w:highlight w:val="none"/>
              </w:rPr>
              <w:t>1</w:t>
            </w:r>
          </w:p>
        </w:tc>
        <w:tc>
          <w:tcPr>
            <w:tcW w:w="1496" w:type="dxa"/>
            <w:tcBorders>
              <w:top w:val="single" w:color="000000" w:sz="6" w:space="0"/>
              <w:left w:val="single" w:color="000000" w:sz="6" w:space="0"/>
              <w:bottom w:val="single" w:color="000000" w:sz="6" w:space="0"/>
              <w:right w:val="single" w:color="000000" w:sz="6" w:space="0"/>
            </w:tcBorders>
            <w:noWrap w:val="0"/>
            <w:vAlign w:val="center"/>
          </w:tcPr>
          <w:p w14:paraId="45F646A8">
            <w:pPr>
              <w:spacing w:line="360" w:lineRule="auto"/>
              <w:ind w:firstLine="480"/>
              <w:jc w:val="center"/>
              <w:rPr>
                <w:rFonts w:cs="宋体"/>
                <w:color w:val="auto"/>
                <w:sz w:val="24"/>
                <w:szCs w:val="24"/>
                <w:highlight w:val="none"/>
              </w:rPr>
            </w:pPr>
          </w:p>
        </w:tc>
        <w:tc>
          <w:tcPr>
            <w:tcW w:w="2163" w:type="dxa"/>
            <w:tcBorders>
              <w:top w:val="single" w:color="000000" w:sz="6" w:space="0"/>
              <w:left w:val="single" w:color="000000" w:sz="6" w:space="0"/>
              <w:bottom w:val="single" w:color="000000" w:sz="6" w:space="0"/>
              <w:right w:val="single" w:color="000000" w:sz="6" w:space="0"/>
            </w:tcBorders>
            <w:noWrap w:val="0"/>
            <w:vAlign w:val="center"/>
          </w:tcPr>
          <w:p w14:paraId="52E469F1">
            <w:pPr>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35A1AA21">
            <w:pPr>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6AA08621">
            <w:pPr>
              <w:spacing w:line="360" w:lineRule="auto"/>
              <w:ind w:firstLine="480"/>
              <w:jc w:val="center"/>
              <w:rPr>
                <w:rFonts w:cs="宋体"/>
                <w:color w:val="auto"/>
                <w:sz w:val="24"/>
                <w:szCs w:val="24"/>
                <w:highlight w:val="none"/>
              </w:rPr>
            </w:pPr>
          </w:p>
        </w:tc>
      </w:tr>
      <w:tr w14:paraId="29F752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959" w:type="dxa"/>
            <w:tcBorders>
              <w:top w:val="single" w:color="000000" w:sz="6" w:space="0"/>
              <w:left w:val="single" w:color="000000" w:sz="12" w:space="0"/>
              <w:bottom w:val="single" w:color="000000" w:sz="6" w:space="0"/>
              <w:right w:val="single" w:color="000000" w:sz="6" w:space="0"/>
            </w:tcBorders>
            <w:noWrap w:val="0"/>
            <w:vAlign w:val="center"/>
          </w:tcPr>
          <w:p w14:paraId="788CE1FD">
            <w:pPr>
              <w:spacing w:line="360" w:lineRule="auto"/>
              <w:jc w:val="center"/>
              <w:rPr>
                <w:rFonts w:cs="宋体"/>
                <w:color w:val="auto"/>
                <w:sz w:val="24"/>
                <w:szCs w:val="24"/>
                <w:highlight w:val="none"/>
              </w:rPr>
            </w:pPr>
            <w:r>
              <w:rPr>
                <w:rFonts w:hint="eastAsia" w:cs="宋体"/>
                <w:color w:val="auto"/>
                <w:sz w:val="24"/>
                <w:szCs w:val="24"/>
                <w:highlight w:val="none"/>
              </w:rPr>
              <w:t>2</w:t>
            </w:r>
          </w:p>
        </w:tc>
        <w:tc>
          <w:tcPr>
            <w:tcW w:w="1496" w:type="dxa"/>
            <w:tcBorders>
              <w:top w:val="single" w:color="000000" w:sz="6" w:space="0"/>
              <w:left w:val="single" w:color="000000" w:sz="6" w:space="0"/>
              <w:bottom w:val="single" w:color="000000" w:sz="6" w:space="0"/>
              <w:right w:val="single" w:color="000000" w:sz="6" w:space="0"/>
            </w:tcBorders>
            <w:noWrap w:val="0"/>
            <w:vAlign w:val="center"/>
          </w:tcPr>
          <w:p w14:paraId="46D6321F">
            <w:pPr>
              <w:spacing w:line="360" w:lineRule="auto"/>
              <w:ind w:firstLine="480"/>
              <w:jc w:val="center"/>
              <w:rPr>
                <w:rFonts w:cs="宋体"/>
                <w:color w:val="auto"/>
                <w:sz w:val="24"/>
                <w:szCs w:val="24"/>
                <w:highlight w:val="none"/>
              </w:rPr>
            </w:pPr>
          </w:p>
        </w:tc>
        <w:tc>
          <w:tcPr>
            <w:tcW w:w="2163" w:type="dxa"/>
            <w:tcBorders>
              <w:top w:val="single" w:color="000000" w:sz="6" w:space="0"/>
              <w:left w:val="single" w:color="000000" w:sz="6" w:space="0"/>
              <w:bottom w:val="single" w:color="000000" w:sz="6" w:space="0"/>
              <w:right w:val="single" w:color="000000" w:sz="6" w:space="0"/>
            </w:tcBorders>
            <w:noWrap w:val="0"/>
            <w:vAlign w:val="center"/>
          </w:tcPr>
          <w:p w14:paraId="62AF76A1">
            <w:pPr>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272293B9">
            <w:pPr>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55867ABA">
            <w:pPr>
              <w:spacing w:line="360" w:lineRule="auto"/>
              <w:ind w:firstLine="480"/>
              <w:jc w:val="center"/>
              <w:rPr>
                <w:rFonts w:cs="宋体"/>
                <w:color w:val="auto"/>
                <w:sz w:val="24"/>
                <w:szCs w:val="24"/>
                <w:highlight w:val="none"/>
              </w:rPr>
            </w:pPr>
          </w:p>
        </w:tc>
      </w:tr>
      <w:tr w14:paraId="3B6341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959" w:type="dxa"/>
            <w:tcBorders>
              <w:top w:val="single" w:color="000000" w:sz="6" w:space="0"/>
              <w:left w:val="single" w:color="000000" w:sz="12" w:space="0"/>
              <w:bottom w:val="single" w:color="000000" w:sz="6" w:space="0"/>
              <w:right w:val="single" w:color="000000" w:sz="6" w:space="0"/>
            </w:tcBorders>
            <w:noWrap w:val="0"/>
            <w:vAlign w:val="center"/>
          </w:tcPr>
          <w:p w14:paraId="0BE74EC5">
            <w:pPr>
              <w:spacing w:line="360" w:lineRule="auto"/>
              <w:jc w:val="center"/>
              <w:rPr>
                <w:rFonts w:cs="宋体"/>
                <w:color w:val="auto"/>
                <w:sz w:val="24"/>
                <w:szCs w:val="24"/>
                <w:highlight w:val="none"/>
              </w:rPr>
            </w:pPr>
            <w:r>
              <w:rPr>
                <w:rFonts w:hint="eastAsia" w:cs="宋体"/>
                <w:color w:val="auto"/>
                <w:sz w:val="24"/>
                <w:szCs w:val="24"/>
                <w:highlight w:val="none"/>
              </w:rPr>
              <w:t>3</w:t>
            </w:r>
          </w:p>
        </w:tc>
        <w:tc>
          <w:tcPr>
            <w:tcW w:w="1496" w:type="dxa"/>
            <w:tcBorders>
              <w:top w:val="single" w:color="000000" w:sz="6" w:space="0"/>
              <w:left w:val="single" w:color="000000" w:sz="6" w:space="0"/>
              <w:bottom w:val="single" w:color="000000" w:sz="6" w:space="0"/>
              <w:right w:val="single" w:color="000000" w:sz="6" w:space="0"/>
            </w:tcBorders>
            <w:noWrap w:val="0"/>
            <w:vAlign w:val="center"/>
          </w:tcPr>
          <w:p w14:paraId="7D9F93D4">
            <w:pPr>
              <w:spacing w:line="360" w:lineRule="auto"/>
              <w:ind w:firstLine="480"/>
              <w:jc w:val="center"/>
              <w:rPr>
                <w:rFonts w:cs="宋体"/>
                <w:color w:val="auto"/>
                <w:sz w:val="24"/>
                <w:szCs w:val="24"/>
                <w:highlight w:val="none"/>
              </w:rPr>
            </w:pPr>
          </w:p>
        </w:tc>
        <w:tc>
          <w:tcPr>
            <w:tcW w:w="2163" w:type="dxa"/>
            <w:tcBorders>
              <w:top w:val="single" w:color="000000" w:sz="6" w:space="0"/>
              <w:left w:val="single" w:color="000000" w:sz="6" w:space="0"/>
              <w:bottom w:val="single" w:color="000000" w:sz="6" w:space="0"/>
              <w:right w:val="single" w:color="000000" w:sz="6" w:space="0"/>
            </w:tcBorders>
            <w:noWrap w:val="0"/>
            <w:vAlign w:val="center"/>
          </w:tcPr>
          <w:p w14:paraId="26C08133">
            <w:pPr>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1237EE74">
            <w:pPr>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5871D03E">
            <w:pPr>
              <w:spacing w:line="360" w:lineRule="auto"/>
              <w:ind w:firstLine="480"/>
              <w:jc w:val="center"/>
              <w:rPr>
                <w:rFonts w:cs="宋体"/>
                <w:color w:val="auto"/>
                <w:sz w:val="24"/>
                <w:szCs w:val="24"/>
                <w:highlight w:val="none"/>
              </w:rPr>
            </w:pPr>
          </w:p>
        </w:tc>
      </w:tr>
      <w:tr w14:paraId="7C14A7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959" w:type="dxa"/>
            <w:tcBorders>
              <w:top w:val="single" w:color="000000" w:sz="6" w:space="0"/>
              <w:left w:val="single" w:color="000000" w:sz="12" w:space="0"/>
              <w:bottom w:val="single" w:color="000000" w:sz="6" w:space="0"/>
              <w:right w:val="single" w:color="000000" w:sz="6" w:space="0"/>
            </w:tcBorders>
            <w:noWrap w:val="0"/>
            <w:vAlign w:val="center"/>
          </w:tcPr>
          <w:p w14:paraId="36D49587">
            <w:pPr>
              <w:spacing w:line="360" w:lineRule="auto"/>
              <w:ind w:firstLine="480"/>
              <w:jc w:val="center"/>
              <w:rPr>
                <w:rFonts w:cs="宋体"/>
                <w:color w:val="auto"/>
                <w:sz w:val="24"/>
                <w:szCs w:val="24"/>
                <w:highlight w:val="none"/>
              </w:rPr>
            </w:pPr>
          </w:p>
        </w:tc>
        <w:tc>
          <w:tcPr>
            <w:tcW w:w="1496" w:type="dxa"/>
            <w:tcBorders>
              <w:top w:val="single" w:color="000000" w:sz="6" w:space="0"/>
              <w:left w:val="single" w:color="000000" w:sz="6" w:space="0"/>
              <w:bottom w:val="single" w:color="000000" w:sz="6" w:space="0"/>
              <w:right w:val="single" w:color="000000" w:sz="6" w:space="0"/>
            </w:tcBorders>
            <w:noWrap w:val="0"/>
            <w:vAlign w:val="center"/>
          </w:tcPr>
          <w:p w14:paraId="1C9F2BC6">
            <w:pPr>
              <w:spacing w:line="360" w:lineRule="auto"/>
              <w:ind w:firstLine="480"/>
              <w:jc w:val="center"/>
              <w:rPr>
                <w:rFonts w:cs="宋体"/>
                <w:color w:val="auto"/>
                <w:sz w:val="24"/>
                <w:szCs w:val="24"/>
                <w:highlight w:val="none"/>
              </w:rPr>
            </w:pPr>
          </w:p>
        </w:tc>
        <w:tc>
          <w:tcPr>
            <w:tcW w:w="2163" w:type="dxa"/>
            <w:tcBorders>
              <w:top w:val="single" w:color="000000" w:sz="6" w:space="0"/>
              <w:left w:val="single" w:color="000000" w:sz="6" w:space="0"/>
              <w:bottom w:val="single" w:color="000000" w:sz="6" w:space="0"/>
              <w:right w:val="single" w:color="000000" w:sz="6" w:space="0"/>
            </w:tcBorders>
            <w:noWrap w:val="0"/>
            <w:vAlign w:val="center"/>
          </w:tcPr>
          <w:p w14:paraId="4E2C6CF4">
            <w:pPr>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1FFCD54D">
            <w:pPr>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62943DF1">
            <w:pPr>
              <w:spacing w:line="360" w:lineRule="auto"/>
              <w:ind w:firstLine="480"/>
              <w:jc w:val="center"/>
              <w:rPr>
                <w:rFonts w:cs="宋体"/>
                <w:color w:val="auto"/>
                <w:sz w:val="24"/>
                <w:szCs w:val="24"/>
                <w:highlight w:val="none"/>
              </w:rPr>
            </w:pPr>
          </w:p>
        </w:tc>
      </w:tr>
    </w:tbl>
    <w:p w14:paraId="4270E1BE">
      <w:pPr>
        <w:spacing w:line="360" w:lineRule="auto"/>
        <w:rPr>
          <w:rFonts w:ascii="宋体" w:hAnsi="宋体"/>
          <w:color w:val="auto"/>
          <w:sz w:val="24"/>
          <w:szCs w:val="24"/>
          <w:highlight w:val="none"/>
        </w:rPr>
      </w:pPr>
    </w:p>
    <w:p w14:paraId="4120F7E9">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响应供应商：（盖章）             </w:t>
      </w:r>
    </w:p>
    <w:p w14:paraId="77B7CFC0">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法定代表人或被授权人（签字或盖章）：</w:t>
      </w:r>
    </w:p>
    <w:p w14:paraId="0729F734">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日期：</w:t>
      </w:r>
    </w:p>
    <w:p w14:paraId="0D7767EF">
      <w:pPr>
        <w:spacing w:line="360" w:lineRule="auto"/>
        <w:ind w:firstLine="482"/>
        <w:rPr>
          <w:rFonts w:ascii="宋体" w:hAnsi="宋体"/>
          <w:b/>
          <w:color w:val="auto"/>
          <w:sz w:val="24"/>
          <w:szCs w:val="24"/>
          <w:highlight w:val="none"/>
        </w:rPr>
      </w:pPr>
    </w:p>
    <w:p w14:paraId="023D9394">
      <w:pPr>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注：1、供应商提交的响应文件中与采购文件第三部分“项目需求说明”中商务部分的要求有不同时，应逐条填列在偏离表中，否则将认为供应商接受采购文件的所有要求。完全响应部分不填到此表中。</w:t>
      </w:r>
    </w:p>
    <w:p w14:paraId="41F6D0B5">
      <w:pPr>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2、“偏离说明”一栏选择“正偏离”、“负偏离”进行填写。正偏离的确认和负偏离的是否响应采购文件，经三分之二评委认定。</w:t>
      </w:r>
    </w:p>
    <w:p w14:paraId="35604A94">
      <w:pPr>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3、供应商如果虚假响应，将承担被暂停参加采购人采购活动的风险。</w:t>
      </w:r>
    </w:p>
    <w:p w14:paraId="15066F08">
      <w:pPr>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4、供应商若提供其他增值服务，可以在表中自行据实填写。</w:t>
      </w:r>
    </w:p>
    <w:p w14:paraId="079ECEDB">
      <w:pPr>
        <w:rPr>
          <w:rFonts w:hint="eastAsia" w:ascii="Times New Roman" w:hAnsi="Times New Roman" w:eastAsia="宋体" w:cs="宋体"/>
          <w:b/>
          <w:color w:val="auto"/>
          <w:sz w:val="24"/>
          <w:szCs w:val="24"/>
          <w:highlight w:val="none"/>
          <w:lang w:val="en-US" w:eastAsia="zh-CN"/>
        </w:rPr>
      </w:pPr>
    </w:p>
    <w:p w14:paraId="2B9F3D50">
      <w:pPr>
        <w:rPr>
          <w:rFonts w:hint="eastAsia" w:ascii="Times New Roman" w:hAnsi="Times New Roman" w:eastAsia="宋体" w:cs="宋体"/>
          <w:b/>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br w:type="page"/>
      </w:r>
    </w:p>
    <w:p w14:paraId="458D3AD3">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olor w:val="auto"/>
          <w:highlight w:val="none"/>
        </w:rPr>
      </w:pPr>
      <w:r>
        <w:rPr>
          <w:rFonts w:hint="eastAsia" w:ascii="Times New Roman" w:hAnsi="Times New Roman" w:eastAsia="宋体" w:cs="宋体"/>
          <w:b/>
          <w:color w:val="auto"/>
          <w:sz w:val="24"/>
          <w:szCs w:val="24"/>
          <w:highlight w:val="none"/>
          <w:lang w:val="en-US" w:eastAsia="zh-CN"/>
        </w:rPr>
        <w:t>10</w:t>
      </w:r>
      <w:r>
        <w:rPr>
          <w:rFonts w:hint="eastAsia" w:ascii="Times New Roman" w:hAnsi="Times New Roman" w:eastAsia="宋体" w:cs="宋体"/>
          <w:b/>
          <w:color w:val="auto"/>
          <w:sz w:val="24"/>
          <w:szCs w:val="24"/>
          <w:highlight w:val="none"/>
        </w:rPr>
        <w:t>、磋商响应报价表</w:t>
      </w:r>
    </w:p>
    <w:p w14:paraId="3CF2F475">
      <w:pPr>
        <w:keepNext w:val="0"/>
        <w:keepLines w:val="0"/>
        <w:pageBreakBefore w:val="0"/>
        <w:widowControl w:val="0"/>
        <w:kinsoku/>
        <w:wordWrap/>
        <w:topLinePunct w:val="0"/>
        <w:autoSpaceDE/>
        <w:autoSpaceDN/>
        <w:bidi w:val="0"/>
        <w:spacing w:line="360" w:lineRule="auto"/>
        <w:ind w:firstLine="241" w:firstLineChars="100"/>
        <w:textAlignment w:val="baseline"/>
        <w:rPr>
          <w:rFonts w:hint="eastAsia" w:ascii="Times New Roman" w:hAnsi="Times New Roman" w:eastAsia="宋体"/>
          <w:b/>
          <w:color w:val="auto"/>
          <w:sz w:val="24"/>
          <w:szCs w:val="24"/>
          <w:highlight w:val="none"/>
          <w:lang w:eastAsia="zh-CN"/>
        </w:rPr>
      </w:pPr>
      <w:r>
        <w:rPr>
          <w:rFonts w:hint="eastAsia" w:ascii="Times New Roman" w:hAnsi="Times New Roman" w:eastAsia="宋体"/>
          <w:b/>
          <w:color w:val="auto"/>
          <w:sz w:val="24"/>
          <w:szCs w:val="24"/>
          <w:highlight w:val="none"/>
        </w:rPr>
        <w:t>项目</w:t>
      </w:r>
      <w:r>
        <w:rPr>
          <w:rFonts w:ascii="Times New Roman" w:hAnsi="Times New Roman" w:eastAsia="宋体"/>
          <w:b/>
          <w:color w:val="auto"/>
          <w:sz w:val="24"/>
          <w:szCs w:val="24"/>
          <w:highlight w:val="none"/>
        </w:rPr>
        <w:t>名称：</w:t>
      </w:r>
      <w:r>
        <w:rPr>
          <w:rFonts w:hint="eastAsia" w:ascii="Times New Roman" w:hAnsi="Times New Roman" w:eastAsia="宋体"/>
          <w:color w:val="auto"/>
          <w:sz w:val="24"/>
          <w:szCs w:val="24"/>
          <w:highlight w:val="none"/>
          <w:lang w:eastAsia="zh-CN"/>
        </w:rPr>
        <w:t>南通市第三人民医院新老中央空调系统管路（二期大楼与4#6#楼）之间增设板式换热机组（第二次）</w:t>
      </w:r>
    </w:p>
    <w:tbl>
      <w:tblPr>
        <w:tblStyle w:val="25"/>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180"/>
        <w:gridCol w:w="1945"/>
        <w:gridCol w:w="3855"/>
        <w:gridCol w:w="806"/>
      </w:tblGrid>
      <w:tr w14:paraId="621FB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61D7714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序号</w:t>
            </w:r>
          </w:p>
        </w:tc>
        <w:tc>
          <w:tcPr>
            <w:tcW w:w="2180" w:type="dxa"/>
            <w:tcBorders>
              <w:top w:val="single" w:color="auto" w:sz="4" w:space="0"/>
              <w:left w:val="single" w:color="auto" w:sz="4" w:space="0"/>
              <w:bottom w:val="single" w:color="auto" w:sz="4" w:space="0"/>
              <w:right w:val="single" w:color="auto" w:sz="4" w:space="0"/>
            </w:tcBorders>
            <w:vAlign w:val="center"/>
          </w:tcPr>
          <w:p w14:paraId="4F511CA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项目内容</w:t>
            </w:r>
          </w:p>
        </w:tc>
        <w:tc>
          <w:tcPr>
            <w:tcW w:w="1945" w:type="dxa"/>
            <w:tcBorders>
              <w:top w:val="single" w:color="auto" w:sz="4" w:space="0"/>
              <w:left w:val="single" w:color="auto" w:sz="4" w:space="0"/>
              <w:bottom w:val="single" w:color="auto" w:sz="4" w:space="0"/>
              <w:right w:val="single" w:color="auto" w:sz="4" w:space="0"/>
            </w:tcBorders>
            <w:vAlign w:val="center"/>
          </w:tcPr>
          <w:p w14:paraId="15FA82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14:paraId="3EBC2FE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磋商总报价</w:t>
            </w:r>
            <w:r>
              <w:rPr>
                <w:rFonts w:hint="eastAsia" w:ascii="Times New Roman" w:hAnsi="Times New Roman"/>
                <w:b/>
                <w:color w:val="auto"/>
                <w:sz w:val="24"/>
                <w:szCs w:val="24"/>
                <w:highlight w:val="none"/>
              </w:rPr>
              <w:t>（元）</w:t>
            </w:r>
          </w:p>
        </w:tc>
        <w:tc>
          <w:tcPr>
            <w:tcW w:w="806" w:type="dxa"/>
            <w:tcBorders>
              <w:top w:val="single" w:color="auto" w:sz="4" w:space="0"/>
              <w:left w:val="single" w:color="auto" w:sz="4" w:space="0"/>
              <w:bottom w:val="single" w:color="auto" w:sz="4" w:space="0"/>
              <w:right w:val="single" w:color="auto" w:sz="4" w:space="0"/>
            </w:tcBorders>
            <w:vAlign w:val="center"/>
          </w:tcPr>
          <w:p w14:paraId="52D847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备注</w:t>
            </w:r>
          </w:p>
        </w:tc>
      </w:tr>
      <w:tr w14:paraId="236E9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7E223D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1</w:t>
            </w:r>
          </w:p>
        </w:tc>
        <w:tc>
          <w:tcPr>
            <w:tcW w:w="2180" w:type="dxa"/>
            <w:vMerge w:val="restart"/>
            <w:tcBorders>
              <w:top w:val="single" w:color="auto" w:sz="4" w:space="0"/>
              <w:left w:val="single" w:color="auto" w:sz="4" w:space="0"/>
              <w:right w:val="single" w:color="auto" w:sz="4" w:space="0"/>
            </w:tcBorders>
            <w:vAlign w:val="center"/>
          </w:tcPr>
          <w:p w14:paraId="31FA80EF">
            <w:pPr>
              <w:keepNext w:val="0"/>
              <w:keepLines w:val="0"/>
              <w:pageBreakBefore w:val="0"/>
              <w:widowControl w:val="0"/>
              <w:kinsoku/>
              <w:wordWrap/>
              <w:topLinePunct w:val="0"/>
              <w:autoSpaceDE/>
              <w:autoSpaceDN/>
              <w:bidi w:val="0"/>
              <w:spacing w:line="360" w:lineRule="auto"/>
              <w:textAlignment w:val="baseline"/>
              <w:rPr>
                <w:rFonts w:hint="eastAsia" w:ascii="Times New Roman" w:hAnsi="Times New Roman" w:eastAsia="宋体"/>
                <w:b/>
                <w:bCs/>
                <w:color w:val="auto"/>
                <w:sz w:val="20"/>
                <w:szCs w:val="21"/>
                <w:highlight w:val="none"/>
                <w:lang w:eastAsia="zh-CN"/>
              </w:rPr>
            </w:pPr>
            <w:r>
              <w:rPr>
                <w:rFonts w:hint="eastAsia" w:ascii="Times New Roman" w:hAnsi="Times New Roman" w:eastAsia="宋体"/>
                <w:b/>
                <w:color w:val="auto"/>
                <w:sz w:val="24"/>
                <w:szCs w:val="24"/>
                <w:highlight w:val="none"/>
                <w:lang w:eastAsia="zh-CN"/>
              </w:rPr>
              <w:t>南通市第三人民医院新老中央空调系统管路（二期大楼与4#6#楼）之间增设板式换热机组（第二次）</w:t>
            </w:r>
          </w:p>
        </w:tc>
        <w:tc>
          <w:tcPr>
            <w:tcW w:w="1945" w:type="dxa"/>
            <w:tcBorders>
              <w:top w:val="single" w:color="auto" w:sz="4" w:space="0"/>
              <w:left w:val="single" w:color="auto" w:sz="4" w:space="0"/>
              <w:bottom w:val="single" w:color="auto" w:sz="4" w:space="0"/>
              <w:right w:val="single" w:color="auto" w:sz="4" w:space="0"/>
            </w:tcBorders>
            <w:vAlign w:val="center"/>
          </w:tcPr>
          <w:p w14:paraId="68E8449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首次</w:t>
            </w:r>
            <w:r>
              <w:rPr>
                <w:rFonts w:ascii="Times New Roman" w:hAnsi="Times New Roman" w:eastAsia="宋体"/>
                <w:bCs/>
                <w:color w:val="auto"/>
                <w:sz w:val="24"/>
                <w:szCs w:val="24"/>
                <w:highlight w:val="none"/>
              </w:rPr>
              <w:t>报价</w:t>
            </w:r>
          </w:p>
        </w:tc>
        <w:tc>
          <w:tcPr>
            <w:tcW w:w="3855" w:type="dxa"/>
            <w:tcBorders>
              <w:top w:val="single" w:color="auto" w:sz="4" w:space="0"/>
              <w:left w:val="single" w:color="auto" w:sz="4" w:space="0"/>
              <w:bottom w:val="single" w:color="auto" w:sz="4" w:space="0"/>
              <w:right w:val="single" w:color="auto" w:sz="4" w:space="0"/>
            </w:tcBorders>
            <w:vAlign w:val="center"/>
          </w:tcPr>
          <w:p w14:paraId="572A8FB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大写（人民币）：</w:t>
            </w:r>
          </w:p>
          <w:p w14:paraId="14360A7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039D738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p>
        </w:tc>
      </w:tr>
      <w:tr w14:paraId="58DF0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2E83C4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2</w:t>
            </w:r>
          </w:p>
        </w:tc>
        <w:tc>
          <w:tcPr>
            <w:tcW w:w="2180" w:type="dxa"/>
            <w:vMerge w:val="continue"/>
            <w:tcBorders>
              <w:left w:val="single" w:color="auto" w:sz="4" w:space="0"/>
              <w:right w:val="single" w:color="auto" w:sz="4" w:space="0"/>
            </w:tcBorders>
            <w:vAlign w:val="center"/>
          </w:tcPr>
          <w:p w14:paraId="2FB6079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14:paraId="70C67EB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第二次</w:t>
            </w:r>
            <w:r>
              <w:rPr>
                <w:rFonts w:ascii="Times New Roman" w:hAnsi="Times New Roman" w:eastAsia="宋体"/>
                <w:bCs/>
                <w:color w:val="auto"/>
                <w:sz w:val="24"/>
                <w:szCs w:val="24"/>
                <w:highlight w:val="none"/>
              </w:rPr>
              <w:t>报价</w:t>
            </w:r>
            <w:r>
              <w:rPr>
                <w:rFonts w:hint="eastAsia" w:ascii="Times New Roman" w:hAnsi="Times New Roman" w:eastAsia="宋体"/>
                <w:bCs/>
                <w:color w:val="auto"/>
                <w:sz w:val="24"/>
                <w:szCs w:val="24"/>
                <w:highlight w:val="none"/>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14:paraId="4EA88764">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大写（人民币）：</w:t>
            </w:r>
          </w:p>
          <w:p w14:paraId="40BB3A81">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1651A4E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p>
        </w:tc>
      </w:tr>
    </w:tbl>
    <w:p w14:paraId="1AE0BD19">
      <w:pPr>
        <w:keepNext w:val="0"/>
        <w:keepLines w:val="0"/>
        <w:pageBreakBefore w:val="0"/>
        <w:widowControl w:val="0"/>
        <w:kinsoku/>
        <w:wordWrap/>
        <w:topLinePunct w:val="0"/>
        <w:autoSpaceDE/>
        <w:autoSpaceDN/>
        <w:bidi w:val="0"/>
        <w:spacing w:line="360" w:lineRule="auto"/>
        <w:ind w:firstLine="2640" w:firstLineChars="11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竞争性磋商响应单位：（加盖公章）</w:t>
      </w:r>
    </w:p>
    <w:p w14:paraId="22CDA91C">
      <w:pPr>
        <w:keepNext w:val="0"/>
        <w:keepLines w:val="0"/>
        <w:pageBreakBefore w:val="0"/>
        <w:widowControl w:val="0"/>
        <w:kinsoku/>
        <w:wordWrap/>
        <w:topLinePunct w:val="0"/>
        <w:autoSpaceDE/>
        <w:autoSpaceDN/>
        <w:bidi w:val="0"/>
        <w:spacing w:line="360" w:lineRule="auto"/>
        <w:ind w:firstLine="3480" w:firstLineChars="14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法定代表人：（签字或盖章）</w:t>
      </w:r>
    </w:p>
    <w:p w14:paraId="313797E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0"/>
          <w:highlight w:val="none"/>
        </w:rPr>
      </w:pPr>
    </w:p>
    <w:p w14:paraId="5E4CED0F">
      <w:pPr>
        <w:pStyle w:val="12"/>
        <w:keepNext w:val="0"/>
        <w:keepLines w:val="0"/>
        <w:pageBreakBefore w:val="0"/>
        <w:widowControl w:val="0"/>
        <w:kinsoku/>
        <w:wordWrap/>
        <w:topLinePunct w:val="0"/>
        <w:autoSpaceDE/>
        <w:autoSpaceDN/>
        <w:bidi w:val="0"/>
        <w:spacing w:line="360" w:lineRule="auto"/>
        <w:ind w:firstLine="5400" w:firstLineChars="225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color w:val="auto"/>
          <w:sz w:val="24"/>
          <w:szCs w:val="24"/>
          <w:highlight w:val="none"/>
        </w:rPr>
        <w:t>年月日</w:t>
      </w:r>
    </w:p>
    <w:p w14:paraId="5938DC34">
      <w:pPr>
        <w:pStyle w:val="12"/>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p>
    <w:p w14:paraId="1195DA9F">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p>
    <w:p w14:paraId="2D7A0F9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注：</w:t>
      </w:r>
    </w:p>
    <w:p w14:paraId="7A591F9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（1）</w:t>
      </w:r>
      <w:r>
        <w:rPr>
          <w:rFonts w:ascii="Times New Roman" w:hAnsi="Times New Roman" w:eastAsia="宋体"/>
          <w:color w:val="auto"/>
          <w:sz w:val="24"/>
          <w:szCs w:val="24"/>
          <w:highlight w:val="none"/>
        </w:rPr>
        <w:t>本表</w:t>
      </w:r>
      <w:r>
        <w:rPr>
          <w:rFonts w:hint="eastAsia" w:ascii="Times New Roman" w:hAnsi="Times New Roman" w:eastAsia="宋体"/>
          <w:color w:val="auto"/>
          <w:sz w:val="24"/>
          <w:szCs w:val="24"/>
          <w:highlight w:val="none"/>
        </w:rPr>
        <w:t>为格式表</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不得自行改动，必须提供</w:t>
      </w:r>
      <w:r>
        <w:rPr>
          <w:rFonts w:ascii="Times New Roman" w:hAnsi="Times New Roman" w:eastAsia="宋体"/>
          <w:color w:val="auto"/>
          <w:sz w:val="24"/>
          <w:szCs w:val="24"/>
          <w:highlight w:val="none"/>
        </w:rPr>
        <w:t>。</w:t>
      </w:r>
    </w:p>
    <w:p w14:paraId="1023D42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（2）磋商报价的总价中应包含：完成本项目所需的一切费用，</w:t>
      </w:r>
      <w:r>
        <w:rPr>
          <w:rFonts w:hint="eastAsia" w:ascii="Times New Roman" w:hAnsi="Times New Roman" w:eastAsia="宋体"/>
          <w:bCs/>
          <w:color w:val="auto"/>
          <w:sz w:val="24"/>
          <w:szCs w:val="24"/>
          <w:highlight w:val="none"/>
          <w:lang w:eastAsia="zh-CN"/>
        </w:rPr>
        <w:t>包含但不限于</w:t>
      </w:r>
      <w:r>
        <w:rPr>
          <w:rFonts w:hint="eastAsia" w:ascii="Times New Roman" w:hAnsi="Times New Roman" w:eastAsia="宋体"/>
          <w:bCs/>
          <w:color w:val="auto"/>
          <w:sz w:val="24"/>
          <w:szCs w:val="24"/>
          <w:highlight w:val="none"/>
        </w:rPr>
        <w:t>成本、利润、税金、开办费、政策性调整风险费等的所有费用；</w:t>
      </w:r>
      <w:r>
        <w:rPr>
          <w:rFonts w:hint="eastAsia" w:ascii="Times New Roman" w:hAnsi="Times New Roman" w:eastAsia="宋体" w:cs="宋体"/>
          <w:color w:val="auto"/>
          <w:sz w:val="24"/>
          <w:szCs w:val="24"/>
          <w:highlight w:val="none"/>
        </w:rPr>
        <w:t>辅材费、</w:t>
      </w:r>
      <w:r>
        <w:rPr>
          <w:rFonts w:hint="eastAsia" w:ascii="Times New Roman" w:hAnsi="Times New Roman" w:eastAsia="宋体"/>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cs="宋体"/>
          <w:color w:val="auto"/>
          <w:sz w:val="24"/>
          <w:szCs w:val="24"/>
          <w:highlight w:val="none"/>
        </w:rPr>
        <w:t>。同时，报价也包含了合同履行过程中可能发生的一切风险。</w:t>
      </w:r>
    </w:p>
    <w:p w14:paraId="39B82C5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（3）第二次报价将在开标现场填写，响应文件密封提交时只需填写磋商报价总计（首次）。</w:t>
      </w:r>
      <w:r>
        <w:rPr>
          <w:rFonts w:hint="eastAsia" w:ascii="Times New Roman" w:hAnsi="Times New Roman" w:eastAsia="宋体"/>
          <w:b/>
          <w:bCs/>
          <w:color w:val="auto"/>
          <w:sz w:val="24"/>
          <w:szCs w:val="24"/>
          <w:highlight w:val="none"/>
        </w:rPr>
        <w:t>报价明细表总价金额</w:t>
      </w:r>
      <w:r>
        <w:rPr>
          <w:rFonts w:hint="eastAsia" w:ascii="Times New Roman" w:hAnsi="Times New Roman" w:eastAsia="宋体"/>
          <w:b/>
          <w:color w:val="auto"/>
          <w:sz w:val="24"/>
          <w:szCs w:val="24"/>
          <w:highlight w:val="none"/>
        </w:rPr>
        <w:t>应当与首次报价表金额相等，且第二次报价时，磋商响应报价明细表按同比例下浮。</w:t>
      </w:r>
    </w:p>
    <w:p w14:paraId="0D8137EC">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7B2CABD5">
      <w:pPr>
        <w:keepNext w:val="0"/>
        <w:keepLines w:val="0"/>
        <w:pageBreakBefore w:val="0"/>
        <w:widowControl w:val="0"/>
        <w:numPr>
          <w:ilvl w:val="0"/>
          <w:numId w:val="0"/>
        </w:numPr>
        <w:kinsoku/>
        <w:wordWrap/>
        <w:topLinePunct w:val="0"/>
        <w:autoSpaceDE/>
        <w:autoSpaceDN/>
        <w:bidi w:val="0"/>
        <w:spacing w:line="360" w:lineRule="auto"/>
        <w:jc w:val="center"/>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val="en-US" w:eastAsia="zh-CN"/>
        </w:rPr>
        <w:t>11、</w:t>
      </w:r>
      <w:r>
        <w:rPr>
          <w:rFonts w:hint="eastAsia" w:ascii="Times New Roman" w:hAnsi="Times New Roman" w:eastAsia="宋体" w:cs="宋体"/>
          <w:b/>
          <w:color w:val="auto"/>
          <w:sz w:val="24"/>
          <w:szCs w:val="24"/>
          <w:highlight w:val="none"/>
        </w:rPr>
        <w:t>磋商响应报价明细表</w:t>
      </w:r>
    </w:p>
    <w:p w14:paraId="6BA8BFFC">
      <w:pPr>
        <w:spacing w:line="360" w:lineRule="auto"/>
        <w:rPr>
          <w:rFonts w:hint="eastAsia" w:ascii="Times New Roman" w:hAnsi="Times New Roman" w:eastAsia="宋体"/>
          <w:bCs/>
          <w:color w:val="auto"/>
          <w:sz w:val="24"/>
          <w:szCs w:val="24"/>
          <w:highlight w:val="none"/>
        </w:rPr>
      </w:pPr>
      <w:r>
        <w:rPr>
          <w:rFonts w:hint="eastAsia"/>
          <w:color w:val="auto"/>
          <w:sz w:val="24"/>
          <w:szCs w:val="24"/>
          <w:highlight w:val="none"/>
        </w:rPr>
        <w:t>项目名称：</w:t>
      </w:r>
      <w:r>
        <w:rPr>
          <w:rFonts w:hint="eastAsia"/>
          <w:color w:val="auto"/>
          <w:sz w:val="24"/>
          <w:szCs w:val="24"/>
          <w:highlight w:val="none"/>
          <w:lang w:eastAsia="zh-CN"/>
        </w:rPr>
        <w:t>南通市第三人民医院新老中央空调系统管路（二期大楼与4#6#楼）之间增设板式换热机组（第二次）</w:t>
      </w:r>
    </w:p>
    <w:tbl>
      <w:tblPr>
        <w:tblStyle w:val="25"/>
        <w:tblW w:w="95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1091"/>
        <w:gridCol w:w="1475"/>
        <w:gridCol w:w="915"/>
        <w:gridCol w:w="1065"/>
        <w:gridCol w:w="1110"/>
        <w:gridCol w:w="1095"/>
        <w:gridCol w:w="945"/>
        <w:gridCol w:w="900"/>
      </w:tblGrid>
      <w:tr w14:paraId="735BC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927" w:type="dxa"/>
            <w:noWrap w:val="0"/>
            <w:vAlign w:val="center"/>
          </w:tcPr>
          <w:p w14:paraId="3FA88FE9">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序号</w:t>
            </w:r>
          </w:p>
        </w:tc>
        <w:tc>
          <w:tcPr>
            <w:tcW w:w="1091" w:type="dxa"/>
            <w:noWrap w:val="0"/>
            <w:vAlign w:val="center"/>
          </w:tcPr>
          <w:p w14:paraId="4B41B2C7">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产品</w:t>
            </w:r>
          </w:p>
          <w:p w14:paraId="40756DED">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名称</w:t>
            </w:r>
          </w:p>
        </w:tc>
        <w:tc>
          <w:tcPr>
            <w:tcW w:w="1475" w:type="dxa"/>
            <w:noWrap w:val="0"/>
            <w:vAlign w:val="center"/>
          </w:tcPr>
          <w:p w14:paraId="70F0873F">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规格型号</w:t>
            </w:r>
          </w:p>
        </w:tc>
        <w:tc>
          <w:tcPr>
            <w:tcW w:w="915" w:type="dxa"/>
            <w:noWrap w:val="0"/>
            <w:vAlign w:val="center"/>
          </w:tcPr>
          <w:p w14:paraId="743DBA40">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数量</w:t>
            </w:r>
          </w:p>
        </w:tc>
        <w:tc>
          <w:tcPr>
            <w:tcW w:w="1065" w:type="dxa"/>
            <w:noWrap w:val="0"/>
            <w:vAlign w:val="center"/>
          </w:tcPr>
          <w:p w14:paraId="4C758A52">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单位</w:t>
            </w:r>
          </w:p>
        </w:tc>
        <w:tc>
          <w:tcPr>
            <w:tcW w:w="1110" w:type="dxa"/>
            <w:noWrap w:val="0"/>
            <w:vAlign w:val="center"/>
          </w:tcPr>
          <w:p w14:paraId="67AE5074">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品牌</w:t>
            </w:r>
          </w:p>
        </w:tc>
        <w:tc>
          <w:tcPr>
            <w:tcW w:w="1095" w:type="dxa"/>
            <w:noWrap w:val="0"/>
            <w:vAlign w:val="center"/>
          </w:tcPr>
          <w:p w14:paraId="3AB02E90">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含税</w:t>
            </w:r>
          </w:p>
          <w:p w14:paraId="75FB1B90">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单价</w:t>
            </w:r>
          </w:p>
        </w:tc>
        <w:tc>
          <w:tcPr>
            <w:tcW w:w="945" w:type="dxa"/>
            <w:noWrap w:val="0"/>
            <w:vAlign w:val="center"/>
          </w:tcPr>
          <w:p w14:paraId="2442C257">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含税</w:t>
            </w:r>
          </w:p>
          <w:p w14:paraId="1B238FAA">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合价</w:t>
            </w:r>
          </w:p>
        </w:tc>
        <w:tc>
          <w:tcPr>
            <w:tcW w:w="900" w:type="dxa"/>
            <w:noWrap w:val="0"/>
            <w:vAlign w:val="center"/>
          </w:tcPr>
          <w:p w14:paraId="7A201DF4">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备注</w:t>
            </w:r>
          </w:p>
        </w:tc>
      </w:tr>
      <w:tr w14:paraId="73A2B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927" w:type="dxa"/>
            <w:noWrap w:val="0"/>
            <w:vAlign w:val="center"/>
          </w:tcPr>
          <w:p w14:paraId="025E06EF">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p>
        </w:tc>
        <w:tc>
          <w:tcPr>
            <w:tcW w:w="1091" w:type="dxa"/>
            <w:noWrap w:val="0"/>
            <w:vAlign w:val="center"/>
          </w:tcPr>
          <w:p w14:paraId="42F237BB">
            <w:pPr>
              <w:spacing w:line="360" w:lineRule="auto"/>
              <w:jc w:val="center"/>
              <w:rPr>
                <w:rFonts w:ascii="Times New Roman" w:hAnsi="Times New Roman" w:eastAsia="宋体" w:cs="宋体"/>
                <w:color w:val="auto"/>
                <w:sz w:val="24"/>
                <w:szCs w:val="24"/>
                <w:highlight w:val="none"/>
              </w:rPr>
            </w:pPr>
          </w:p>
        </w:tc>
        <w:tc>
          <w:tcPr>
            <w:tcW w:w="1475" w:type="dxa"/>
            <w:noWrap w:val="0"/>
            <w:vAlign w:val="center"/>
          </w:tcPr>
          <w:p w14:paraId="18ABDF5D">
            <w:pPr>
              <w:spacing w:line="360" w:lineRule="auto"/>
              <w:rPr>
                <w:rFonts w:ascii="Times New Roman" w:hAnsi="Times New Roman" w:eastAsia="宋体"/>
                <w:color w:val="auto"/>
                <w:sz w:val="24"/>
                <w:szCs w:val="24"/>
                <w:highlight w:val="none"/>
              </w:rPr>
            </w:pPr>
          </w:p>
        </w:tc>
        <w:tc>
          <w:tcPr>
            <w:tcW w:w="915" w:type="dxa"/>
            <w:noWrap w:val="0"/>
            <w:vAlign w:val="center"/>
          </w:tcPr>
          <w:p w14:paraId="4361C3F9">
            <w:pPr>
              <w:spacing w:line="360" w:lineRule="auto"/>
              <w:jc w:val="center"/>
              <w:rPr>
                <w:rFonts w:ascii="Times New Roman" w:hAnsi="Times New Roman" w:eastAsia="宋体" w:cs="宋体"/>
                <w:color w:val="auto"/>
                <w:sz w:val="24"/>
                <w:szCs w:val="24"/>
                <w:highlight w:val="none"/>
              </w:rPr>
            </w:pPr>
          </w:p>
        </w:tc>
        <w:tc>
          <w:tcPr>
            <w:tcW w:w="1065" w:type="dxa"/>
            <w:noWrap w:val="0"/>
            <w:vAlign w:val="center"/>
          </w:tcPr>
          <w:p w14:paraId="34BF0AA2">
            <w:pPr>
              <w:spacing w:line="360" w:lineRule="auto"/>
              <w:jc w:val="center"/>
              <w:rPr>
                <w:rFonts w:ascii="Times New Roman" w:hAnsi="Times New Roman" w:eastAsia="宋体" w:cs="宋体"/>
                <w:color w:val="auto"/>
                <w:sz w:val="24"/>
                <w:szCs w:val="24"/>
                <w:highlight w:val="none"/>
              </w:rPr>
            </w:pPr>
          </w:p>
        </w:tc>
        <w:tc>
          <w:tcPr>
            <w:tcW w:w="1110" w:type="dxa"/>
            <w:noWrap w:val="0"/>
            <w:vAlign w:val="center"/>
          </w:tcPr>
          <w:p w14:paraId="6411F1D0">
            <w:pPr>
              <w:spacing w:line="360" w:lineRule="auto"/>
              <w:rPr>
                <w:rFonts w:ascii="Times New Roman" w:hAnsi="Times New Roman" w:eastAsia="宋体"/>
                <w:color w:val="auto"/>
                <w:sz w:val="24"/>
                <w:szCs w:val="24"/>
                <w:highlight w:val="none"/>
              </w:rPr>
            </w:pPr>
          </w:p>
        </w:tc>
        <w:tc>
          <w:tcPr>
            <w:tcW w:w="1095" w:type="dxa"/>
            <w:noWrap w:val="0"/>
            <w:vAlign w:val="center"/>
          </w:tcPr>
          <w:p w14:paraId="0D497529">
            <w:pPr>
              <w:spacing w:line="360" w:lineRule="auto"/>
              <w:rPr>
                <w:rFonts w:ascii="Times New Roman" w:hAnsi="Times New Roman" w:eastAsia="宋体"/>
                <w:color w:val="auto"/>
                <w:sz w:val="24"/>
                <w:szCs w:val="24"/>
                <w:highlight w:val="none"/>
              </w:rPr>
            </w:pPr>
          </w:p>
        </w:tc>
        <w:tc>
          <w:tcPr>
            <w:tcW w:w="945" w:type="dxa"/>
            <w:noWrap w:val="0"/>
            <w:vAlign w:val="center"/>
          </w:tcPr>
          <w:p w14:paraId="1C5109EE">
            <w:pPr>
              <w:spacing w:line="360" w:lineRule="auto"/>
              <w:rPr>
                <w:rFonts w:ascii="Times New Roman" w:hAnsi="Times New Roman" w:eastAsia="宋体"/>
                <w:color w:val="auto"/>
                <w:sz w:val="24"/>
                <w:szCs w:val="24"/>
                <w:highlight w:val="none"/>
              </w:rPr>
            </w:pPr>
          </w:p>
        </w:tc>
        <w:tc>
          <w:tcPr>
            <w:tcW w:w="900" w:type="dxa"/>
            <w:noWrap w:val="0"/>
            <w:vAlign w:val="top"/>
          </w:tcPr>
          <w:p w14:paraId="25116A65">
            <w:pPr>
              <w:spacing w:line="360" w:lineRule="auto"/>
              <w:rPr>
                <w:rFonts w:ascii="Times New Roman" w:hAnsi="Times New Roman" w:eastAsia="宋体"/>
                <w:color w:val="auto"/>
                <w:sz w:val="24"/>
                <w:szCs w:val="24"/>
                <w:highlight w:val="none"/>
              </w:rPr>
            </w:pPr>
          </w:p>
        </w:tc>
      </w:tr>
      <w:tr w14:paraId="2EEAC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27" w:type="dxa"/>
            <w:noWrap w:val="0"/>
            <w:vAlign w:val="center"/>
          </w:tcPr>
          <w:p w14:paraId="3341AE59">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w:t>
            </w:r>
          </w:p>
        </w:tc>
        <w:tc>
          <w:tcPr>
            <w:tcW w:w="1091" w:type="dxa"/>
            <w:noWrap w:val="0"/>
            <w:vAlign w:val="center"/>
          </w:tcPr>
          <w:p w14:paraId="76AA0FC3">
            <w:pPr>
              <w:spacing w:line="360" w:lineRule="auto"/>
              <w:jc w:val="center"/>
              <w:rPr>
                <w:rFonts w:ascii="Times New Roman" w:hAnsi="Times New Roman" w:eastAsia="宋体" w:cs="宋体"/>
                <w:color w:val="auto"/>
                <w:sz w:val="24"/>
                <w:szCs w:val="24"/>
                <w:highlight w:val="none"/>
              </w:rPr>
            </w:pPr>
          </w:p>
        </w:tc>
        <w:tc>
          <w:tcPr>
            <w:tcW w:w="1475" w:type="dxa"/>
            <w:noWrap w:val="0"/>
            <w:vAlign w:val="center"/>
          </w:tcPr>
          <w:p w14:paraId="344A520C">
            <w:pPr>
              <w:spacing w:line="360" w:lineRule="auto"/>
              <w:rPr>
                <w:rFonts w:ascii="Times New Roman" w:hAnsi="Times New Roman" w:eastAsia="宋体"/>
                <w:color w:val="auto"/>
                <w:sz w:val="24"/>
                <w:szCs w:val="24"/>
                <w:highlight w:val="none"/>
              </w:rPr>
            </w:pPr>
          </w:p>
        </w:tc>
        <w:tc>
          <w:tcPr>
            <w:tcW w:w="915" w:type="dxa"/>
            <w:noWrap w:val="0"/>
            <w:vAlign w:val="center"/>
          </w:tcPr>
          <w:p w14:paraId="04DDA457">
            <w:pPr>
              <w:spacing w:line="360" w:lineRule="auto"/>
              <w:jc w:val="center"/>
              <w:rPr>
                <w:rFonts w:ascii="Times New Roman" w:hAnsi="Times New Roman" w:eastAsia="宋体" w:cs="宋体"/>
                <w:color w:val="auto"/>
                <w:sz w:val="24"/>
                <w:szCs w:val="24"/>
                <w:highlight w:val="none"/>
              </w:rPr>
            </w:pPr>
          </w:p>
        </w:tc>
        <w:tc>
          <w:tcPr>
            <w:tcW w:w="1065" w:type="dxa"/>
            <w:noWrap w:val="0"/>
            <w:vAlign w:val="center"/>
          </w:tcPr>
          <w:p w14:paraId="70F678E3">
            <w:pPr>
              <w:spacing w:line="360" w:lineRule="auto"/>
              <w:jc w:val="center"/>
              <w:rPr>
                <w:rFonts w:ascii="Times New Roman" w:hAnsi="Times New Roman" w:eastAsia="宋体" w:cs="宋体"/>
                <w:color w:val="auto"/>
                <w:sz w:val="24"/>
                <w:szCs w:val="24"/>
                <w:highlight w:val="none"/>
              </w:rPr>
            </w:pPr>
          </w:p>
        </w:tc>
        <w:tc>
          <w:tcPr>
            <w:tcW w:w="1110" w:type="dxa"/>
            <w:noWrap w:val="0"/>
            <w:vAlign w:val="center"/>
          </w:tcPr>
          <w:p w14:paraId="6FE35AA2">
            <w:pPr>
              <w:spacing w:line="360" w:lineRule="auto"/>
              <w:rPr>
                <w:rFonts w:ascii="Times New Roman" w:hAnsi="Times New Roman" w:eastAsia="宋体"/>
                <w:color w:val="auto"/>
                <w:sz w:val="24"/>
                <w:szCs w:val="24"/>
                <w:highlight w:val="none"/>
              </w:rPr>
            </w:pPr>
          </w:p>
        </w:tc>
        <w:tc>
          <w:tcPr>
            <w:tcW w:w="1095" w:type="dxa"/>
            <w:noWrap w:val="0"/>
            <w:vAlign w:val="center"/>
          </w:tcPr>
          <w:p w14:paraId="24A6E6FD">
            <w:pPr>
              <w:spacing w:line="360" w:lineRule="auto"/>
              <w:rPr>
                <w:rFonts w:ascii="Times New Roman" w:hAnsi="Times New Roman" w:eastAsia="宋体"/>
                <w:color w:val="auto"/>
                <w:sz w:val="24"/>
                <w:szCs w:val="24"/>
                <w:highlight w:val="none"/>
              </w:rPr>
            </w:pPr>
          </w:p>
        </w:tc>
        <w:tc>
          <w:tcPr>
            <w:tcW w:w="945" w:type="dxa"/>
            <w:noWrap w:val="0"/>
            <w:vAlign w:val="center"/>
          </w:tcPr>
          <w:p w14:paraId="0DDA2580">
            <w:pPr>
              <w:spacing w:line="360" w:lineRule="auto"/>
              <w:rPr>
                <w:rFonts w:ascii="Times New Roman" w:hAnsi="Times New Roman" w:eastAsia="宋体"/>
                <w:color w:val="auto"/>
                <w:sz w:val="24"/>
                <w:szCs w:val="24"/>
                <w:highlight w:val="none"/>
              </w:rPr>
            </w:pPr>
          </w:p>
        </w:tc>
        <w:tc>
          <w:tcPr>
            <w:tcW w:w="900" w:type="dxa"/>
            <w:noWrap w:val="0"/>
            <w:vAlign w:val="top"/>
          </w:tcPr>
          <w:p w14:paraId="27026EE3">
            <w:pPr>
              <w:spacing w:line="360" w:lineRule="auto"/>
              <w:rPr>
                <w:rFonts w:ascii="Times New Roman" w:hAnsi="Times New Roman" w:eastAsia="宋体"/>
                <w:color w:val="auto"/>
                <w:sz w:val="24"/>
                <w:szCs w:val="24"/>
                <w:highlight w:val="none"/>
              </w:rPr>
            </w:pPr>
          </w:p>
        </w:tc>
      </w:tr>
      <w:tr w14:paraId="68309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27" w:type="dxa"/>
            <w:noWrap w:val="0"/>
            <w:vAlign w:val="center"/>
          </w:tcPr>
          <w:p w14:paraId="4599F780">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w:t>
            </w:r>
          </w:p>
        </w:tc>
        <w:tc>
          <w:tcPr>
            <w:tcW w:w="1091" w:type="dxa"/>
            <w:noWrap w:val="0"/>
            <w:vAlign w:val="center"/>
          </w:tcPr>
          <w:p w14:paraId="1F820A7E">
            <w:pPr>
              <w:spacing w:line="360" w:lineRule="auto"/>
              <w:jc w:val="center"/>
              <w:rPr>
                <w:rFonts w:ascii="Times New Roman" w:hAnsi="Times New Roman" w:eastAsia="宋体" w:cs="宋体"/>
                <w:color w:val="auto"/>
                <w:sz w:val="24"/>
                <w:szCs w:val="24"/>
                <w:highlight w:val="none"/>
              </w:rPr>
            </w:pPr>
          </w:p>
        </w:tc>
        <w:tc>
          <w:tcPr>
            <w:tcW w:w="1475" w:type="dxa"/>
            <w:noWrap w:val="0"/>
            <w:vAlign w:val="center"/>
          </w:tcPr>
          <w:p w14:paraId="1D8871F3">
            <w:pPr>
              <w:spacing w:line="360" w:lineRule="auto"/>
              <w:rPr>
                <w:rFonts w:ascii="Times New Roman" w:hAnsi="Times New Roman" w:eastAsia="宋体"/>
                <w:color w:val="auto"/>
                <w:sz w:val="24"/>
                <w:szCs w:val="24"/>
                <w:highlight w:val="none"/>
              </w:rPr>
            </w:pPr>
          </w:p>
        </w:tc>
        <w:tc>
          <w:tcPr>
            <w:tcW w:w="915" w:type="dxa"/>
            <w:noWrap w:val="0"/>
            <w:vAlign w:val="center"/>
          </w:tcPr>
          <w:p w14:paraId="635F53DC">
            <w:pPr>
              <w:spacing w:line="360" w:lineRule="auto"/>
              <w:jc w:val="center"/>
              <w:rPr>
                <w:rFonts w:ascii="Times New Roman" w:hAnsi="Times New Roman" w:eastAsia="宋体" w:cs="宋体"/>
                <w:color w:val="auto"/>
                <w:sz w:val="24"/>
                <w:szCs w:val="24"/>
                <w:highlight w:val="none"/>
              </w:rPr>
            </w:pPr>
          </w:p>
        </w:tc>
        <w:tc>
          <w:tcPr>
            <w:tcW w:w="1065" w:type="dxa"/>
            <w:noWrap w:val="0"/>
            <w:vAlign w:val="center"/>
          </w:tcPr>
          <w:p w14:paraId="1CFB070D">
            <w:pPr>
              <w:spacing w:line="360" w:lineRule="auto"/>
              <w:jc w:val="center"/>
              <w:rPr>
                <w:rFonts w:ascii="Times New Roman" w:hAnsi="Times New Roman" w:eastAsia="宋体" w:cs="宋体"/>
                <w:color w:val="auto"/>
                <w:sz w:val="24"/>
                <w:szCs w:val="24"/>
                <w:highlight w:val="none"/>
              </w:rPr>
            </w:pPr>
          </w:p>
        </w:tc>
        <w:tc>
          <w:tcPr>
            <w:tcW w:w="1110" w:type="dxa"/>
            <w:noWrap w:val="0"/>
            <w:vAlign w:val="center"/>
          </w:tcPr>
          <w:p w14:paraId="60D4857B">
            <w:pPr>
              <w:spacing w:line="360" w:lineRule="auto"/>
              <w:rPr>
                <w:rFonts w:ascii="Times New Roman" w:hAnsi="Times New Roman" w:eastAsia="宋体"/>
                <w:color w:val="auto"/>
                <w:sz w:val="24"/>
                <w:szCs w:val="24"/>
                <w:highlight w:val="none"/>
              </w:rPr>
            </w:pPr>
          </w:p>
        </w:tc>
        <w:tc>
          <w:tcPr>
            <w:tcW w:w="1095" w:type="dxa"/>
            <w:noWrap w:val="0"/>
            <w:vAlign w:val="center"/>
          </w:tcPr>
          <w:p w14:paraId="3BD6D9FE">
            <w:pPr>
              <w:spacing w:line="360" w:lineRule="auto"/>
              <w:rPr>
                <w:rFonts w:ascii="Times New Roman" w:hAnsi="Times New Roman" w:eastAsia="宋体"/>
                <w:color w:val="auto"/>
                <w:sz w:val="24"/>
                <w:szCs w:val="24"/>
                <w:highlight w:val="none"/>
              </w:rPr>
            </w:pPr>
          </w:p>
        </w:tc>
        <w:tc>
          <w:tcPr>
            <w:tcW w:w="945" w:type="dxa"/>
            <w:noWrap w:val="0"/>
            <w:vAlign w:val="center"/>
          </w:tcPr>
          <w:p w14:paraId="266FA1A1">
            <w:pPr>
              <w:spacing w:line="360" w:lineRule="auto"/>
              <w:rPr>
                <w:rFonts w:ascii="Times New Roman" w:hAnsi="Times New Roman" w:eastAsia="宋体"/>
                <w:color w:val="auto"/>
                <w:sz w:val="24"/>
                <w:szCs w:val="24"/>
                <w:highlight w:val="none"/>
              </w:rPr>
            </w:pPr>
          </w:p>
        </w:tc>
        <w:tc>
          <w:tcPr>
            <w:tcW w:w="900" w:type="dxa"/>
            <w:noWrap w:val="0"/>
            <w:vAlign w:val="top"/>
          </w:tcPr>
          <w:p w14:paraId="4D74FC22">
            <w:pPr>
              <w:spacing w:line="360" w:lineRule="auto"/>
              <w:rPr>
                <w:rFonts w:ascii="Times New Roman" w:hAnsi="Times New Roman" w:eastAsia="宋体"/>
                <w:color w:val="auto"/>
                <w:sz w:val="24"/>
                <w:szCs w:val="24"/>
                <w:highlight w:val="none"/>
              </w:rPr>
            </w:pPr>
          </w:p>
        </w:tc>
      </w:tr>
      <w:tr w14:paraId="5A2CE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27" w:type="dxa"/>
            <w:noWrap w:val="0"/>
            <w:vAlign w:val="center"/>
          </w:tcPr>
          <w:p w14:paraId="2FCCAA1E">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4</w:t>
            </w:r>
          </w:p>
        </w:tc>
        <w:tc>
          <w:tcPr>
            <w:tcW w:w="1091" w:type="dxa"/>
            <w:noWrap w:val="0"/>
            <w:vAlign w:val="center"/>
          </w:tcPr>
          <w:p w14:paraId="4965359C">
            <w:pPr>
              <w:spacing w:line="360" w:lineRule="auto"/>
              <w:jc w:val="center"/>
              <w:rPr>
                <w:rFonts w:ascii="Times New Roman" w:hAnsi="Times New Roman" w:eastAsia="宋体" w:cs="宋体"/>
                <w:color w:val="auto"/>
                <w:sz w:val="24"/>
                <w:szCs w:val="24"/>
                <w:highlight w:val="none"/>
              </w:rPr>
            </w:pPr>
          </w:p>
        </w:tc>
        <w:tc>
          <w:tcPr>
            <w:tcW w:w="1475" w:type="dxa"/>
            <w:noWrap w:val="0"/>
            <w:vAlign w:val="center"/>
          </w:tcPr>
          <w:p w14:paraId="6367EE48">
            <w:pPr>
              <w:spacing w:line="360" w:lineRule="auto"/>
              <w:rPr>
                <w:rFonts w:ascii="Times New Roman" w:hAnsi="Times New Roman" w:eastAsia="宋体"/>
                <w:color w:val="auto"/>
                <w:sz w:val="24"/>
                <w:szCs w:val="24"/>
                <w:highlight w:val="none"/>
              </w:rPr>
            </w:pPr>
          </w:p>
        </w:tc>
        <w:tc>
          <w:tcPr>
            <w:tcW w:w="915" w:type="dxa"/>
            <w:noWrap w:val="0"/>
            <w:vAlign w:val="center"/>
          </w:tcPr>
          <w:p w14:paraId="6E64DC47">
            <w:pPr>
              <w:spacing w:line="360" w:lineRule="auto"/>
              <w:jc w:val="center"/>
              <w:rPr>
                <w:rFonts w:ascii="Times New Roman" w:hAnsi="Times New Roman" w:eastAsia="宋体" w:cs="宋体"/>
                <w:color w:val="auto"/>
                <w:sz w:val="24"/>
                <w:szCs w:val="24"/>
                <w:highlight w:val="none"/>
              </w:rPr>
            </w:pPr>
          </w:p>
        </w:tc>
        <w:tc>
          <w:tcPr>
            <w:tcW w:w="1065" w:type="dxa"/>
            <w:noWrap w:val="0"/>
            <w:vAlign w:val="center"/>
          </w:tcPr>
          <w:p w14:paraId="6BD4D9EC">
            <w:pPr>
              <w:spacing w:line="360" w:lineRule="auto"/>
              <w:jc w:val="center"/>
              <w:rPr>
                <w:rFonts w:ascii="Times New Roman" w:hAnsi="Times New Roman" w:eastAsia="宋体" w:cs="宋体"/>
                <w:color w:val="auto"/>
                <w:sz w:val="24"/>
                <w:szCs w:val="24"/>
                <w:highlight w:val="none"/>
              </w:rPr>
            </w:pPr>
          </w:p>
        </w:tc>
        <w:tc>
          <w:tcPr>
            <w:tcW w:w="1110" w:type="dxa"/>
            <w:noWrap w:val="0"/>
            <w:vAlign w:val="center"/>
          </w:tcPr>
          <w:p w14:paraId="78F8E342">
            <w:pPr>
              <w:spacing w:line="360" w:lineRule="auto"/>
              <w:rPr>
                <w:rFonts w:ascii="Times New Roman" w:hAnsi="Times New Roman" w:eastAsia="宋体"/>
                <w:color w:val="auto"/>
                <w:sz w:val="24"/>
                <w:szCs w:val="24"/>
                <w:highlight w:val="none"/>
              </w:rPr>
            </w:pPr>
          </w:p>
        </w:tc>
        <w:tc>
          <w:tcPr>
            <w:tcW w:w="1095" w:type="dxa"/>
            <w:noWrap w:val="0"/>
            <w:vAlign w:val="center"/>
          </w:tcPr>
          <w:p w14:paraId="5E5A94A1">
            <w:pPr>
              <w:spacing w:line="360" w:lineRule="auto"/>
              <w:rPr>
                <w:rFonts w:ascii="Times New Roman" w:hAnsi="Times New Roman" w:eastAsia="宋体"/>
                <w:color w:val="auto"/>
                <w:sz w:val="24"/>
                <w:szCs w:val="24"/>
                <w:highlight w:val="none"/>
              </w:rPr>
            </w:pPr>
          </w:p>
        </w:tc>
        <w:tc>
          <w:tcPr>
            <w:tcW w:w="945" w:type="dxa"/>
            <w:noWrap w:val="0"/>
            <w:vAlign w:val="center"/>
          </w:tcPr>
          <w:p w14:paraId="7671AA31">
            <w:pPr>
              <w:spacing w:line="360" w:lineRule="auto"/>
              <w:rPr>
                <w:rFonts w:ascii="Times New Roman" w:hAnsi="Times New Roman" w:eastAsia="宋体"/>
                <w:color w:val="auto"/>
                <w:sz w:val="24"/>
                <w:szCs w:val="24"/>
                <w:highlight w:val="none"/>
              </w:rPr>
            </w:pPr>
          </w:p>
        </w:tc>
        <w:tc>
          <w:tcPr>
            <w:tcW w:w="900" w:type="dxa"/>
            <w:noWrap w:val="0"/>
            <w:vAlign w:val="top"/>
          </w:tcPr>
          <w:p w14:paraId="34FD3D28">
            <w:pPr>
              <w:spacing w:line="360" w:lineRule="auto"/>
              <w:rPr>
                <w:rFonts w:ascii="Times New Roman" w:hAnsi="Times New Roman" w:eastAsia="宋体"/>
                <w:color w:val="auto"/>
                <w:sz w:val="24"/>
                <w:szCs w:val="24"/>
                <w:highlight w:val="none"/>
              </w:rPr>
            </w:pPr>
          </w:p>
        </w:tc>
      </w:tr>
      <w:tr w14:paraId="76287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27" w:type="dxa"/>
            <w:noWrap w:val="0"/>
            <w:vAlign w:val="center"/>
          </w:tcPr>
          <w:p w14:paraId="552119FB">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5</w:t>
            </w:r>
          </w:p>
        </w:tc>
        <w:tc>
          <w:tcPr>
            <w:tcW w:w="1091" w:type="dxa"/>
            <w:noWrap w:val="0"/>
            <w:vAlign w:val="center"/>
          </w:tcPr>
          <w:p w14:paraId="319F4610">
            <w:pPr>
              <w:spacing w:line="360" w:lineRule="auto"/>
              <w:jc w:val="center"/>
              <w:rPr>
                <w:rFonts w:ascii="Times New Roman" w:hAnsi="Times New Roman" w:eastAsia="宋体" w:cs="宋体"/>
                <w:color w:val="auto"/>
                <w:sz w:val="24"/>
                <w:szCs w:val="24"/>
                <w:highlight w:val="none"/>
              </w:rPr>
            </w:pPr>
          </w:p>
        </w:tc>
        <w:tc>
          <w:tcPr>
            <w:tcW w:w="1475" w:type="dxa"/>
            <w:noWrap w:val="0"/>
            <w:vAlign w:val="center"/>
          </w:tcPr>
          <w:p w14:paraId="1342B0E7">
            <w:pPr>
              <w:spacing w:line="360" w:lineRule="auto"/>
              <w:rPr>
                <w:rFonts w:ascii="Times New Roman" w:hAnsi="Times New Roman" w:eastAsia="宋体"/>
                <w:color w:val="auto"/>
                <w:sz w:val="24"/>
                <w:szCs w:val="24"/>
                <w:highlight w:val="none"/>
              </w:rPr>
            </w:pPr>
          </w:p>
        </w:tc>
        <w:tc>
          <w:tcPr>
            <w:tcW w:w="915" w:type="dxa"/>
            <w:noWrap w:val="0"/>
            <w:vAlign w:val="center"/>
          </w:tcPr>
          <w:p w14:paraId="4B70023C">
            <w:pPr>
              <w:spacing w:line="360" w:lineRule="auto"/>
              <w:jc w:val="center"/>
              <w:rPr>
                <w:rFonts w:ascii="Times New Roman" w:hAnsi="Times New Roman" w:eastAsia="宋体" w:cs="宋体"/>
                <w:color w:val="auto"/>
                <w:sz w:val="24"/>
                <w:szCs w:val="24"/>
                <w:highlight w:val="none"/>
              </w:rPr>
            </w:pPr>
          </w:p>
        </w:tc>
        <w:tc>
          <w:tcPr>
            <w:tcW w:w="1065" w:type="dxa"/>
            <w:noWrap w:val="0"/>
            <w:vAlign w:val="center"/>
          </w:tcPr>
          <w:p w14:paraId="6A8732DF">
            <w:pPr>
              <w:spacing w:line="360" w:lineRule="auto"/>
              <w:jc w:val="center"/>
              <w:rPr>
                <w:rFonts w:ascii="Times New Roman" w:hAnsi="Times New Roman" w:eastAsia="宋体" w:cs="宋体"/>
                <w:color w:val="auto"/>
                <w:sz w:val="24"/>
                <w:szCs w:val="24"/>
                <w:highlight w:val="none"/>
              </w:rPr>
            </w:pPr>
          </w:p>
        </w:tc>
        <w:tc>
          <w:tcPr>
            <w:tcW w:w="1110" w:type="dxa"/>
            <w:noWrap w:val="0"/>
            <w:vAlign w:val="center"/>
          </w:tcPr>
          <w:p w14:paraId="31DE27A7">
            <w:pPr>
              <w:spacing w:line="360" w:lineRule="auto"/>
              <w:rPr>
                <w:rFonts w:ascii="Times New Roman" w:hAnsi="Times New Roman" w:eastAsia="宋体"/>
                <w:color w:val="auto"/>
                <w:sz w:val="24"/>
                <w:szCs w:val="24"/>
                <w:highlight w:val="none"/>
              </w:rPr>
            </w:pPr>
          </w:p>
        </w:tc>
        <w:tc>
          <w:tcPr>
            <w:tcW w:w="1095" w:type="dxa"/>
            <w:noWrap w:val="0"/>
            <w:vAlign w:val="center"/>
          </w:tcPr>
          <w:p w14:paraId="124F35D0">
            <w:pPr>
              <w:spacing w:line="360" w:lineRule="auto"/>
              <w:rPr>
                <w:rFonts w:ascii="Times New Roman" w:hAnsi="Times New Roman" w:eastAsia="宋体"/>
                <w:color w:val="auto"/>
                <w:sz w:val="24"/>
                <w:szCs w:val="24"/>
                <w:highlight w:val="none"/>
              </w:rPr>
            </w:pPr>
          </w:p>
        </w:tc>
        <w:tc>
          <w:tcPr>
            <w:tcW w:w="945" w:type="dxa"/>
            <w:noWrap w:val="0"/>
            <w:vAlign w:val="center"/>
          </w:tcPr>
          <w:p w14:paraId="5FCC3948">
            <w:pPr>
              <w:spacing w:line="360" w:lineRule="auto"/>
              <w:rPr>
                <w:rFonts w:ascii="Times New Roman" w:hAnsi="Times New Roman" w:eastAsia="宋体"/>
                <w:color w:val="auto"/>
                <w:sz w:val="24"/>
                <w:szCs w:val="24"/>
                <w:highlight w:val="none"/>
              </w:rPr>
            </w:pPr>
          </w:p>
        </w:tc>
        <w:tc>
          <w:tcPr>
            <w:tcW w:w="900" w:type="dxa"/>
            <w:noWrap w:val="0"/>
            <w:vAlign w:val="top"/>
          </w:tcPr>
          <w:p w14:paraId="1FDE1687">
            <w:pPr>
              <w:spacing w:line="360" w:lineRule="auto"/>
              <w:rPr>
                <w:rFonts w:ascii="Times New Roman" w:hAnsi="Times New Roman" w:eastAsia="宋体"/>
                <w:color w:val="auto"/>
                <w:sz w:val="24"/>
                <w:szCs w:val="24"/>
                <w:highlight w:val="none"/>
              </w:rPr>
            </w:pPr>
          </w:p>
        </w:tc>
      </w:tr>
      <w:tr w14:paraId="10F36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27" w:type="dxa"/>
            <w:noWrap w:val="0"/>
            <w:vAlign w:val="center"/>
          </w:tcPr>
          <w:p w14:paraId="24A7C95F">
            <w:pPr>
              <w:spacing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w:t>
            </w:r>
          </w:p>
        </w:tc>
        <w:tc>
          <w:tcPr>
            <w:tcW w:w="1091" w:type="dxa"/>
            <w:noWrap w:val="0"/>
            <w:vAlign w:val="center"/>
          </w:tcPr>
          <w:p w14:paraId="71C667FC">
            <w:pPr>
              <w:spacing w:line="360" w:lineRule="auto"/>
              <w:jc w:val="center"/>
              <w:rPr>
                <w:rFonts w:ascii="Times New Roman" w:hAnsi="Times New Roman" w:eastAsia="宋体"/>
                <w:color w:val="auto"/>
                <w:sz w:val="21"/>
                <w:highlight w:val="none"/>
              </w:rPr>
            </w:pPr>
          </w:p>
        </w:tc>
        <w:tc>
          <w:tcPr>
            <w:tcW w:w="1475" w:type="dxa"/>
            <w:noWrap w:val="0"/>
            <w:vAlign w:val="center"/>
          </w:tcPr>
          <w:p w14:paraId="094E06B4">
            <w:pPr>
              <w:spacing w:line="360" w:lineRule="auto"/>
              <w:rPr>
                <w:rFonts w:ascii="Times New Roman" w:hAnsi="Times New Roman" w:eastAsia="宋体"/>
                <w:color w:val="auto"/>
                <w:sz w:val="24"/>
                <w:szCs w:val="24"/>
                <w:highlight w:val="none"/>
              </w:rPr>
            </w:pPr>
          </w:p>
        </w:tc>
        <w:tc>
          <w:tcPr>
            <w:tcW w:w="915" w:type="dxa"/>
            <w:noWrap w:val="0"/>
            <w:vAlign w:val="center"/>
          </w:tcPr>
          <w:p w14:paraId="3888450B">
            <w:pPr>
              <w:spacing w:line="360" w:lineRule="auto"/>
              <w:jc w:val="center"/>
              <w:rPr>
                <w:rFonts w:ascii="Times New Roman" w:hAnsi="Times New Roman" w:eastAsia="宋体"/>
                <w:color w:val="auto"/>
                <w:sz w:val="21"/>
                <w:highlight w:val="none"/>
              </w:rPr>
            </w:pPr>
          </w:p>
        </w:tc>
        <w:tc>
          <w:tcPr>
            <w:tcW w:w="1065" w:type="dxa"/>
            <w:noWrap w:val="0"/>
            <w:vAlign w:val="center"/>
          </w:tcPr>
          <w:p w14:paraId="2F74F957">
            <w:pPr>
              <w:spacing w:line="360" w:lineRule="auto"/>
              <w:jc w:val="center"/>
              <w:rPr>
                <w:rFonts w:ascii="Times New Roman" w:hAnsi="Times New Roman" w:eastAsia="宋体"/>
                <w:color w:val="auto"/>
                <w:sz w:val="21"/>
                <w:highlight w:val="none"/>
              </w:rPr>
            </w:pPr>
          </w:p>
        </w:tc>
        <w:tc>
          <w:tcPr>
            <w:tcW w:w="1110" w:type="dxa"/>
            <w:noWrap w:val="0"/>
            <w:vAlign w:val="center"/>
          </w:tcPr>
          <w:p w14:paraId="3228FC57">
            <w:pPr>
              <w:spacing w:line="360" w:lineRule="auto"/>
              <w:rPr>
                <w:rFonts w:ascii="Times New Roman" w:hAnsi="Times New Roman" w:eastAsia="宋体"/>
                <w:color w:val="auto"/>
                <w:sz w:val="24"/>
                <w:szCs w:val="24"/>
                <w:highlight w:val="none"/>
              </w:rPr>
            </w:pPr>
          </w:p>
        </w:tc>
        <w:tc>
          <w:tcPr>
            <w:tcW w:w="1095" w:type="dxa"/>
            <w:noWrap w:val="0"/>
            <w:vAlign w:val="center"/>
          </w:tcPr>
          <w:p w14:paraId="7E8107B2">
            <w:pPr>
              <w:spacing w:line="360" w:lineRule="auto"/>
              <w:rPr>
                <w:rFonts w:ascii="Times New Roman" w:hAnsi="Times New Roman" w:eastAsia="宋体"/>
                <w:color w:val="auto"/>
                <w:sz w:val="24"/>
                <w:szCs w:val="24"/>
                <w:highlight w:val="none"/>
              </w:rPr>
            </w:pPr>
          </w:p>
        </w:tc>
        <w:tc>
          <w:tcPr>
            <w:tcW w:w="945" w:type="dxa"/>
            <w:noWrap w:val="0"/>
            <w:vAlign w:val="center"/>
          </w:tcPr>
          <w:p w14:paraId="5A9327D8">
            <w:pPr>
              <w:spacing w:line="360" w:lineRule="auto"/>
              <w:rPr>
                <w:rFonts w:ascii="Times New Roman" w:hAnsi="Times New Roman" w:eastAsia="宋体"/>
                <w:color w:val="auto"/>
                <w:sz w:val="24"/>
                <w:szCs w:val="24"/>
                <w:highlight w:val="none"/>
              </w:rPr>
            </w:pPr>
          </w:p>
        </w:tc>
        <w:tc>
          <w:tcPr>
            <w:tcW w:w="900" w:type="dxa"/>
            <w:noWrap w:val="0"/>
            <w:vAlign w:val="top"/>
          </w:tcPr>
          <w:p w14:paraId="64A20147">
            <w:pPr>
              <w:spacing w:line="360" w:lineRule="auto"/>
              <w:rPr>
                <w:rFonts w:ascii="Times New Roman" w:hAnsi="Times New Roman" w:eastAsia="宋体"/>
                <w:color w:val="auto"/>
                <w:sz w:val="24"/>
                <w:szCs w:val="24"/>
                <w:highlight w:val="none"/>
              </w:rPr>
            </w:pPr>
          </w:p>
        </w:tc>
      </w:tr>
      <w:tr w14:paraId="36742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623" w:type="dxa"/>
            <w:gridSpan w:val="8"/>
            <w:noWrap w:val="0"/>
            <w:vAlign w:val="center"/>
          </w:tcPr>
          <w:p w14:paraId="3F588196">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总计：</w:t>
            </w:r>
            <w:r>
              <w:rPr>
                <w:rFonts w:hint="eastAsia" w:ascii="Times New Roman" w:hAnsi="Times New Roman" w:eastAsia="宋体"/>
                <w:color w:val="auto"/>
                <w:sz w:val="24"/>
                <w:szCs w:val="24"/>
                <w:highlight w:val="none"/>
                <w:lang w:val="en-US" w:eastAsia="zh-CN"/>
              </w:rPr>
              <w:t xml:space="preserve">   </w:t>
            </w:r>
            <w:r>
              <w:rPr>
                <w:rFonts w:hint="eastAsia" w:ascii="Times New Roman" w:hAnsi="Times New Roman" w:eastAsia="宋体"/>
                <w:color w:val="auto"/>
                <w:sz w:val="24"/>
                <w:szCs w:val="24"/>
                <w:highlight w:val="none"/>
              </w:rPr>
              <w:t>元</w:t>
            </w:r>
          </w:p>
        </w:tc>
        <w:tc>
          <w:tcPr>
            <w:tcW w:w="900" w:type="dxa"/>
            <w:noWrap w:val="0"/>
            <w:vAlign w:val="top"/>
          </w:tcPr>
          <w:p w14:paraId="6FDB9207">
            <w:pPr>
              <w:spacing w:line="360" w:lineRule="auto"/>
              <w:rPr>
                <w:rFonts w:ascii="Times New Roman" w:hAnsi="Times New Roman" w:eastAsia="宋体"/>
                <w:color w:val="auto"/>
                <w:sz w:val="24"/>
                <w:szCs w:val="24"/>
                <w:highlight w:val="none"/>
              </w:rPr>
            </w:pPr>
          </w:p>
        </w:tc>
      </w:tr>
    </w:tbl>
    <w:p w14:paraId="0D163AE5">
      <w:pPr>
        <w:pStyle w:val="43"/>
        <w:rPr>
          <w:rFonts w:hint="eastAsia"/>
          <w:color w:val="auto"/>
          <w:highlight w:val="none"/>
        </w:rPr>
      </w:pPr>
    </w:p>
    <w:p w14:paraId="1F65E131">
      <w:pPr>
        <w:spacing w:line="360" w:lineRule="auto"/>
        <w:ind w:firstLine="480" w:firstLineChars="200"/>
        <w:rPr>
          <w:rFonts w:ascii="宋体" w:hAnsi="宋体"/>
          <w:bCs/>
          <w:color w:val="auto"/>
          <w:sz w:val="24"/>
          <w:highlight w:val="none"/>
        </w:rPr>
      </w:pPr>
      <w:r>
        <w:rPr>
          <w:rFonts w:hint="eastAsia" w:ascii="宋体" w:hAnsi="宋体" w:eastAsia="宋体" w:cs="宋体"/>
          <w:color w:val="auto"/>
          <w:sz w:val="24"/>
          <w:szCs w:val="24"/>
          <w:highlight w:val="none"/>
        </w:rPr>
        <w:t>注：</w:t>
      </w:r>
      <w:r>
        <w:rPr>
          <w:rFonts w:hint="eastAsia" w:ascii="宋体" w:hAnsi="宋体"/>
          <w:bCs/>
          <w:color w:val="auto"/>
          <w:sz w:val="24"/>
          <w:highlight w:val="none"/>
        </w:rPr>
        <w:t>1、最终磋商总价报价将在磋商现场填写，响应文件首次提交时只需填写本明细表和首次磋商总价报价。</w:t>
      </w:r>
    </w:p>
    <w:p w14:paraId="4AE4707F">
      <w:pPr>
        <w:pageBreakBefore w:val="0"/>
        <w:kinsoku/>
        <w:wordWrap/>
        <w:overflowPunct/>
        <w:topLinePunct w:val="0"/>
        <w:bidi w:val="0"/>
        <w:spacing w:line="360" w:lineRule="auto"/>
        <w:ind w:firstLine="480"/>
        <w:jc w:val="left"/>
        <w:textAlignment w:val="auto"/>
        <w:rPr>
          <w:rFonts w:hint="eastAsia" w:ascii="宋体" w:hAnsi="宋体"/>
          <w:bCs/>
          <w:color w:val="auto"/>
          <w:sz w:val="24"/>
          <w:highlight w:val="none"/>
        </w:rPr>
      </w:pPr>
      <w:r>
        <w:rPr>
          <w:rFonts w:hint="eastAsia" w:ascii="宋体" w:hAnsi="宋体"/>
          <w:bCs/>
          <w:color w:val="auto"/>
          <w:sz w:val="24"/>
          <w:highlight w:val="none"/>
        </w:rPr>
        <w:t>2、本表格可根据需求自行调整。</w:t>
      </w:r>
    </w:p>
    <w:p w14:paraId="26A8015B">
      <w:pPr>
        <w:pageBreakBefore w:val="0"/>
        <w:kinsoku/>
        <w:wordWrap/>
        <w:overflowPunct/>
        <w:topLinePunct w:val="0"/>
        <w:bidi w:val="0"/>
        <w:spacing w:line="360" w:lineRule="auto"/>
        <w:ind w:firstLine="480"/>
        <w:jc w:val="left"/>
        <w:textAlignment w:val="auto"/>
        <w:rPr>
          <w:rFonts w:hint="eastAsia" w:ascii="宋体" w:hAnsi="宋体"/>
          <w:bCs/>
          <w:color w:val="auto"/>
          <w:sz w:val="24"/>
          <w:highlight w:val="none"/>
        </w:rPr>
      </w:pPr>
      <w:r>
        <w:rPr>
          <w:rFonts w:hint="eastAsia" w:ascii="宋体" w:hAnsi="宋体"/>
          <w:bCs/>
          <w:color w:val="auto"/>
          <w:sz w:val="24"/>
          <w:highlight w:val="none"/>
        </w:rPr>
        <w:t>3、如果不提供本表将视为未实质性响应磋商文件要求。</w:t>
      </w:r>
    </w:p>
    <w:p w14:paraId="2FF97110">
      <w:pPr>
        <w:pageBreakBefore w:val="0"/>
        <w:kinsoku/>
        <w:wordWrap/>
        <w:overflowPunct/>
        <w:topLinePunct w:val="0"/>
        <w:bidi w:val="0"/>
        <w:spacing w:line="360" w:lineRule="auto"/>
        <w:ind w:firstLine="480"/>
        <w:jc w:val="left"/>
        <w:textAlignment w:val="auto"/>
        <w:rPr>
          <w:rFonts w:hint="eastAsia" w:ascii="宋体" w:hAnsi="宋体"/>
          <w:bCs/>
          <w:color w:val="auto"/>
          <w:sz w:val="24"/>
          <w:highlight w:val="none"/>
        </w:rPr>
      </w:pPr>
      <w:r>
        <w:rPr>
          <w:rFonts w:hint="eastAsia" w:ascii="宋体" w:hAnsi="宋体"/>
          <w:bCs/>
          <w:color w:val="auto"/>
          <w:sz w:val="24"/>
          <w:highlight w:val="none"/>
        </w:rPr>
        <w:t>4、如果按各分项报价计算的结果与总价不一致，以各分项报价为准，修正总价。</w:t>
      </w:r>
    </w:p>
    <w:p w14:paraId="243B4004">
      <w:pPr>
        <w:pageBreakBefore w:val="0"/>
        <w:kinsoku/>
        <w:wordWrap/>
        <w:overflowPunct/>
        <w:topLinePunct w:val="0"/>
        <w:bidi w:val="0"/>
        <w:spacing w:line="360" w:lineRule="auto"/>
        <w:ind w:firstLine="480"/>
        <w:jc w:val="left"/>
        <w:textAlignment w:val="auto"/>
        <w:rPr>
          <w:rFonts w:hint="eastAsia" w:ascii="宋体" w:hAnsi="宋体" w:eastAsia="宋体" w:cs="宋体"/>
          <w:bCs/>
          <w:color w:val="auto"/>
          <w:sz w:val="24"/>
          <w:szCs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lang w:eastAsia="zh-CN"/>
        </w:rPr>
        <w:t>、</w:t>
      </w:r>
      <w:r>
        <w:rPr>
          <w:rFonts w:hint="eastAsia" w:ascii="宋体" w:hAnsi="宋体"/>
          <w:bCs/>
          <w:color w:val="auto"/>
          <w:sz w:val="24"/>
          <w:highlight w:val="none"/>
        </w:rPr>
        <w:t>本表</w:t>
      </w:r>
      <w:r>
        <w:rPr>
          <w:rFonts w:hint="eastAsia" w:ascii="宋体" w:hAnsi="宋体"/>
          <w:bCs/>
          <w:color w:val="auto"/>
          <w:sz w:val="24"/>
          <w:highlight w:val="none"/>
          <w:lang w:eastAsia="zh-CN"/>
        </w:rPr>
        <w:t>响应</w:t>
      </w:r>
      <w:r>
        <w:rPr>
          <w:rFonts w:hint="eastAsia" w:ascii="宋体" w:hAnsi="宋体"/>
          <w:bCs/>
          <w:color w:val="auto"/>
          <w:sz w:val="24"/>
          <w:highlight w:val="none"/>
        </w:rPr>
        <w:t>总报价（以人民币计价）应</w:t>
      </w:r>
      <w:r>
        <w:rPr>
          <w:rFonts w:hint="eastAsia" w:ascii="宋体" w:hAnsi="宋体"/>
          <w:bCs/>
          <w:color w:val="auto"/>
          <w:sz w:val="24"/>
          <w:highlight w:val="none"/>
          <w:lang w:eastAsia="zh-CN"/>
        </w:rPr>
        <w:t>包含但不限于</w:t>
      </w:r>
      <w:r>
        <w:rPr>
          <w:rFonts w:hint="eastAsia" w:ascii="宋体" w:hAnsi="宋体"/>
          <w:bCs/>
          <w:color w:val="auto"/>
          <w:sz w:val="24"/>
          <w:highlight w:val="none"/>
        </w:rPr>
        <w:t>成本、利润、税金、开办费、政策性调整风险费等的所有费用；辅材费、人工费、检测费、管理费；国家税务部门规定的各项税金；相关伴随服务以及售后服务等一切费用</w:t>
      </w:r>
      <w:r>
        <w:rPr>
          <w:rFonts w:hint="eastAsia" w:ascii="宋体" w:hAnsi="宋体"/>
          <w:bCs/>
          <w:color w:val="auto"/>
          <w:sz w:val="24"/>
          <w:highlight w:val="none"/>
          <w:lang w:eastAsia="zh-CN"/>
        </w:rPr>
        <w:t>；</w:t>
      </w:r>
      <w:r>
        <w:rPr>
          <w:rFonts w:hint="eastAsia" w:ascii="宋体" w:hAnsi="宋体"/>
          <w:bCs/>
          <w:color w:val="auto"/>
          <w:sz w:val="24"/>
          <w:highlight w:val="none"/>
        </w:rPr>
        <w:t>即本项目采购的货物交付使用前的所有费用以及免费质保期内的服务费用等包含响应</w:t>
      </w:r>
      <w:r>
        <w:rPr>
          <w:rFonts w:hint="eastAsia" w:ascii="宋体" w:hAnsi="宋体"/>
          <w:bCs/>
          <w:color w:val="auto"/>
          <w:sz w:val="24"/>
          <w:highlight w:val="none"/>
          <w:lang w:eastAsia="zh-CN"/>
        </w:rPr>
        <w:t>磋商</w:t>
      </w:r>
      <w:r>
        <w:rPr>
          <w:rFonts w:hint="eastAsia" w:ascii="宋体" w:hAnsi="宋体"/>
          <w:bCs/>
          <w:color w:val="auto"/>
          <w:sz w:val="24"/>
          <w:highlight w:val="none"/>
        </w:rPr>
        <w:t>文件采购要求的所有费用。同时，报价也包含了合同履行过程中可能发生的一切风险</w:t>
      </w:r>
      <w:r>
        <w:rPr>
          <w:rFonts w:hint="eastAsia" w:ascii="宋体" w:hAnsi="宋体"/>
          <w:bCs/>
          <w:color w:val="auto"/>
          <w:sz w:val="24"/>
          <w:highlight w:val="none"/>
          <w:lang w:eastAsia="zh-CN"/>
        </w:rPr>
        <w:t>。</w:t>
      </w:r>
    </w:p>
    <w:p w14:paraId="0F7502EF">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rPr>
      </w:pPr>
    </w:p>
    <w:p w14:paraId="0D46D2CA">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供应商（盖章）：</w:t>
      </w:r>
      <w:r>
        <w:rPr>
          <w:rFonts w:hint="eastAsia" w:ascii="宋体" w:hAnsi="宋体" w:eastAsia="宋体" w:cs="宋体"/>
          <w:bCs/>
          <w:color w:val="auto"/>
          <w:sz w:val="24"/>
          <w:szCs w:val="24"/>
          <w:highlight w:val="none"/>
          <w:u w:val="single"/>
        </w:rPr>
        <w:t xml:space="preserve">                        </w:t>
      </w:r>
    </w:p>
    <w:p w14:paraId="7EA4319C">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供应商代表签字或盖章：</w:t>
      </w:r>
      <w:r>
        <w:rPr>
          <w:rFonts w:hint="eastAsia" w:ascii="宋体" w:hAnsi="宋体" w:eastAsia="宋体" w:cs="宋体"/>
          <w:bCs/>
          <w:color w:val="auto"/>
          <w:sz w:val="24"/>
          <w:szCs w:val="24"/>
          <w:highlight w:val="none"/>
          <w:u w:val="single"/>
        </w:rPr>
        <w:t xml:space="preserve">                       </w:t>
      </w:r>
    </w:p>
    <w:p w14:paraId="19D0271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 xml:space="preserve">日  期： </w:t>
      </w:r>
      <w:r>
        <w:rPr>
          <w:rFonts w:hint="eastAsia" w:ascii="宋体" w:hAnsi="宋体" w:eastAsia="宋体" w:cs="宋体"/>
          <w:bCs/>
          <w:color w:val="auto"/>
          <w:sz w:val="24"/>
          <w:szCs w:val="24"/>
          <w:highlight w:val="none"/>
          <w:u w:val="single"/>
        </w:rPr>
        <w:t xml:space="preserve">                            </w:t>
      </w:r>
    </w:p>
    <w:sectPr>
      <w:footerReference r:id="rId3" w:type="default"/>
      <w:pgSz w:w="11906" w:h="16838"/>
      <w:pgMar w:top="1418" w:right="1588" w:bottom="1418" w:left="1588"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PingFangSC-Regular-Identity-H">
    <w:altName w:val="Segoe Print"/>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E2BF">
    <w:pPr>
      <w:pStyle w:val="16"/>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37C95"/>
    <w:multiLevelType w:val="singleLevel"/>
    <w:tmpl w:val="3C337C9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TQyNGY3NWY0ZTVkMDMxMDUwZGIwMTYzYTM2NTk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229B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D3170"/>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15C4CBF"/>
    <w:rsid w:val="01FE34D3"/>
    <w:rsid w:val="02117D9A"/>
    <w:rsid w:val="0232372D"/>
    <w:rsid w:val="02F619EC"/>
    <w:rsid w:val="031A3274"/>
    <w:rsid w:val="032341C5"/>
    <w:rsid w:val="03A83A42"/>
    <w:rsid w:val="03E379A2"/>
    <w:rsid w:val="041E22FB"/>
    <w:rsid w:val="0475016D"/>
    <w:rsid w:val="05D721F2"/>
    <w:rsid w:val="08D1180B"/>
    <w:rsid w:val="0A2543E3"/>
    <w:rsid w:val="0A2830AC"/>
    <w:rsid w:val="0A5D1C72"/>
    <w:rsid w:val="0A727010"/>
    <w:rsid w:val="0B462863"/>
    <w:rsid w:val="0BE5207C"/>
    <w:rsid w:val="0CD77836"/>
    <w:rsid w:val="0DEA1BCB"/>
    <w:rsid w:val="0E6C4D9F"/>
    <w:rsid w:val="0FB9436E"/>
    <w:rsid w:val="10E548CC"/>
    <w:rsid w:val="10EF15A7"/>
    <w:rsid w:val="115B540E"/>
    <w:rsid w:val="122D2FC9"/>
    <w:rsid w:val="133E3283"/>
    <w:rsid w:val="139A7BF0"/>
    <w:rsid w:val="14EA7E81"/>
    <w:rsid w:val="151421A8"/>
    <w:rsid w:val="15253159"/>
    <w:rsid w:val="155F3D53"/>
    <w:rsid w:val="157C1E87"/>
    <w:rsid w:val="159468C1"/>
    <w:rsid w:val="15C2217E"/>
    <w:rsid w:val="15D63BCC"/>
    <w:rsid w:val="15F6320B"/>
    <w:rsid w:val="16593DC0"/>
    <w:rsid w:val="17BF578A"/>
    <w:rsid w:val="17F32EE2"/>
    <w:rsid w:val="18117D55"/>
    <w:rsid w:val="18263421"/>
    <w:rsid w:val="197308CB"/>
    <w:rsid w:val="197565C6"/>
    <w:rsid w:val="1A18186E"/>
    <w:rsid w:val="1B4F155D"/>
    <w:rsid w:val="1C503906"/>
    <w:rsid w:val="1DE432AC"/>
    <w:rsid w:val="1E163551"/>
    <w:rsid w:val="1F0C4400"/>
    <w:rsid w:val="1F8E2FE8"/>
    <w:rsid w:val="203A77C4"/>
    <w:rsid w:val="21404558"/>
    <w:rsid w:val="21450846"/>
    <w:rsid w:val="21B43D41"/>
    <w:rsid w:val="224E366C"/>
    <w:rsid w:val="22D402FC"/>
    <w:rsid w:val="2335285B"/>
    <w:rsid w:val="252E676F"/>
    <w:rsid w:val="272A0E68"/>
    <w:rsid w:val="274D0351"/>
    <w:rsid w:val="27DE22E9"/>
    <w:rsid w:val="286D194F"/>
    <w:rsid w:val="28885E11"/>
    <w:rsid w:val="28F53B49"/>
    <w:rsid w:val="29C97C61"/>
    <w:rsid w:val="2B9F25ED"/>
    <w:rsid w:val="2BD6675A"/>
    <w:rsid w:val="2C5A6960"/>
    <w:rsid w:val="2C6E5A4D"/>
    <w:rsid w:val="2CC8252C"/>
    <w:rsid w:val="2CCE28B7"/>
    <w:rsid w:val="2D0068BE"/>
    <w:rsid w:val="2D547055"/>
    <w:rsid w:val="2DD824AC"/>
    <w:rsid w:val="2E672C1C"/>
    <w:rsid w:val="2F837332"/>
    <w:rsid w:val="30A401EF"/>
    <w:rsid w:val="322E658F"/>
    <w:rsid w:val="32347FCD"/>
    <w:rsid w:val="32593CE2"/>
    <w:rsid w:val="32D85BE7"/>
    <w:rsid w:val="3329796B"/>
    <w:rsid w:val="34700A2F"/>
    <w:rsid w:val="34C5163B"/>
    <w:rsid w:val="358D4A67"/>
    <w:rsid w:val="35947F61"/>
    <w:rsid w:val="35CA34F6"/>
    <w:rsid w:val="35CB4299"/>
    <w:rsid w:val="35EB4569"/>
    <w:rsid w:val="36161DCC"/>
    <w:rsid w:val="366867C2"/>
    <w:rsid w:val="37092C7D"/>
    <w:rsid w:val="38594DC9"/>
    <w:rsid w:val="388D2136"/>
    <w:rsid w:val="396E11A3"/>
    <w:rsid w:val="39780A9F"/>
    <w:rsid w:val="3A3E6499"/>
    <w:rsid w:val="3AAB1168"/>
    <w:rsid w:val="3C2C44E9"/>
    <w:rsid w:val="3CA14B12"/>
    <w:rsid w:val="3DA05553"/>
    <w:rsid w:val="3DBB06FA"/>
    <w:rsid w:val="3DEA6E32"/>
    <w:rsid w:val="3DF31169"/>
    <w:rsid w:val="3E246184"/>
    <w:rsid w:val="3EF274D2"/>
    <w:rsid w:val="3F13120C"/>
    <w:rsid w:val="3FBC10C9"/>
    <w:rsid w:val="401C35B7"/>
    <w:rsid w:val="40423602"/>
    <w:rsid w:val="4080750E"/>
    <w:rsid w:val="42024E02"/>
    <w:rsid w:val="420764B5"/>
    <w:rsid w:val="422B5D33"/>
    <w:rsid w:val="425D1C65"/>
    <w:rsid w:val="42672AE3"/>
    <w:rsid w:val="440A15A0"/>
    <w:rsid w:val="442B555F"/>
    <w:rsid w:val="448734FB"/>
    <w:rsid w:val="44972DA7"/>
    <w:rsid w:val="44D468AC"/>
    <w:rsid w:val="4561465A"/>
    <w:rsid w:val="45983BDF"/>
    <w:rsid w:val="459E47A7"/>
    <w:rsid w:val="46CD07F9"/>
    <w:rsid w:val="47693BAF"/>
    <w:rsid w:val="482C45B3"/>
    <w:rsid w:val="486E3206"/>
    <w:rsid w:val="48FE0BAD"/>
    <w:rsid w:val="49111B67"/>
    <w:rsid w:val="49727F94"/>
    <w:rsid w:val="49DC3654"/>
    <w:rsid w:val="4A324B44"/>
    <w:rsid w:val="4ACD5C5A"/>
    <w:rsid w:val="4B840262"/>
    <w:rsid w:val="4BE75A2A"/>
    <w:rsid w:val="4C510AF8"/>
    <w:rsid w:val="4E46218F"/>
    <w:rsid w:val="4EBA73A4"/>
    <w:rsid w:val="4FA520EA"/>
    <w:rsid w:val="4FC139BA"/>
    <w:rsid w:val="502E6EFE"/>
    <w:rsid w:val="5035522F"/>
    <w:rsid w:val="515F3303"/>
    <w:rsid w:val="53A23A14"/>
    <w:rsid w:val="54120D39"/>
    <w:rsid w:val="542A6B2C"/>
    <w:rsid w:val="544F229E"/>
    <w:rsid w:val="55385BD7"/>
    <w:rsid w:val="56400311"/>
    <w:rsid w:val="56E5418D"/>
    <w:rsid w:val="57AE0777"/>
    <w:rsid w:val="584274DB"/>
    <w:rsid w:val="585A4B1B"/>
    <w:rsid w:val="599B1D79"/>
    <w:rsid w:val="5A4C01FF"/>
    <w:rsid w:val="5A8F2AFB"/>
    <w:rsid w:val="5A91106B"/>
    <w:rsid w:val="5AD25AC4"/>
    <w:rsid w:val="5B02520C"/>
    <w:rsid w:val="5BD838E7"/>
    <w:rsid w:val="5BD91F04"/>
    <w:rsid w:val="5C855626"/>
    <w:rsid w:val="5EE01142"/>
    <w:rsid w:val="60032852"/>
    <w:rsid w:val="60480F23"/>
    <w:rsid w:val="61946007"/>
    <w:rsid w:val="61BD1D0E"/>
    <w:rsid w:val="633D4A8B"/>
    <w:rsid w:val="640E3A9F"/>
    <w:rsid w:val="64191A38"/>
    <w:rsid w:val="64ED5461"/>
    <w:rsid w:val="64FB113D"/>
    <w:rsid w:val="658F2EA6"/>
    <w:rsid w:val="659772A6"/>
    <w:rsid w:val="6742329A"/>
    <w:rsid w:val="675F7512"/>
    <w:rsid w:val="683A4AF4"/>
    <w:rsid w:val="68A31FFC"/>
    <w:rsid w:val="68A84122"/>
    <w:rsid w:val="68AD6BF3"/>
    <w:rsid w:val="696E2E35"/>
    <w:rsid w:val="6A585565"/>
    <w:rsid w:val="6A721EA2"/>
    <w:rsid w:val="6AB53F04"/>
    <w:rsid w:val="6AE32C8B"/>
    <w:rsid w:val="6C1132E7"/>
    <w:rsid w:val="6D600F61"/>
    <w:rsid w:val="6D632A3D"/>
    <w:rsid w:val="6E9616EC"/>
    <w:rsid w:val="6F1F4B5D"/>
    <w:rsid w:val="6F3A3EBA"/>
    <w:rsid w:val="700D0A38"/>
    <w:rsid w:val="70541114"/>
    <w:rsid w:val="707A560C"/>
    <w:rsid w:val="70B054D2"/>
    <w:rsid w:val="70BF4A36"/>
    <w:rsid w:val="712D5BF6"/>
    <w:rsid w:val="71AD12AD"/>
    <w:rsid w:val="71EA5EF0"/>
    <w:rsid w:val="720C2DA1"/>
    <w:rsid w:val="72BC7378"/>
    <w:rsid w:val="72BF1288"/>
    <w:rsid w:val="73392B0C"/>
    <w:rsid w:val="74266144"/>
    <w:rsid w:val="75363ACC"/>
    <w:rsid w:val="75652356"/>
    <w:rsid w:val="762F76F3"/>
    <w:rsid w:val="76876CD5"/>
    <w:rsid w:val="76B22FC1"/>
    <w:rsid w:val="76DF48EB"/>
    <w:rsid w:val="787C19CC"/>
    <w:rsid w:val="79173AC2"/>
    <w:rsid w:val="79691823"/>
    <w:rsid w:val="798C7570"/>
    <w:rsid w:val="7A0B19CB"/>
    <w:rsid w:val="7B0A1E99"/>
    <w:rsid w:val="7B85422E"/>
    <w:rsid w:val="7C1A2204"/>
    <w:rsid w:val="7C462374"/>
    <w:rsid w:val="7D5A2578"/>
    <w:rsid w:val="7DFB122D"/>
    <w:rsid w:val="7E633C7C"/>
    <w:rsid w:val="7EFD3971"/>
    <w:rsid w:val="7F4A09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autoRedefine/>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3">
    <w:name w:val="heading 2"/>
    <w:basedOn w:val="1"/>
    <w:next w:val="1"/>
    <w:link w:val="51"/>
    <w:autoRedefine/>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4">
    <w:name w:val="heading 4"/>
    <w:basedOn w:val="1"/>
    <w:next w:val="1"/>
    <w:autoRedefine/>
    <w:semiHidden/>
    <w:qFormat/>
    <w:uiPriority w:val="9"/>
    <w:pPr>
      <w:keepNext/>
      <w:keepLines/>
      <w:spacing w:before="280" w:after="290" w:line="372" w:lineRule="auto"/>
      <w:outlineLvl w:val="3"/>
    </w:pPr>
    <w:rPr>
      <w:rFonts w:ascii="Cambria" w:hAnsi="Cambria"/>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9"/>
    <w:autoRedefine/>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6">
    <w:name w:val="Document Map"/>
    <w:basedOn w:val="1"/>
    <w:link w:val="52"/>
    <w:autoRedefine/>
    <w:semiHidden/>
    <w:unhideWhenUsed/>
    <w:qFormat/>
    <w:uiPriority w:val="99"/>
    <w:rPr>
      <w:rFonts w:ascii="宋体" w:eastAsia="宋体"/>
      <w:sz w:val="18"/>
      <w:szCs w:val="18"/>
    </w:rPr>
  </w:style>
  <w:style w:type="paragraph" w:styleId="7">
    <w:name w:val="toa heading"/>
    <w:basedOn w:val="1"/>
    <w:next w:val="1"/>
    <w:autoRedefine/>
    <w:qFormat/>
    <w:uiPriority w:val="0"/>
    <w:rPr>
      <w:rFonts w:ascii="Arial" w:hAnsi="Arial" w:eastAsia="宋体" w:cs="Times New Roman"/>
      <w:sz w:val="24"/>
      <w:szCs w:val="21"/>
    </w:rPr>
  </w:style>
  <w:style w:type="paragraph" w:styleId="8">
    <w:name w:val="annotation text"/>
    <w:basedOn w:val="1"/>
    <w:link w:val="55"/>
    <w:autoRedefine/>
    <w:semiHidden/>
    <w:unhideWhenUsed/>
    <w:qFormat/>
    <w:uiPriority w:val="99"/>
    <w:pPr>
      <w:jc w:val="left"/>
    </w:pPr>
  </w:style>
  <w:style w:type="paragraph" w:styleId="9">
    <w:name w:val="Body Text"/>
    <w:basedOn w:val="1"/>
    <w:autoRedefine/>
    <w:qFormat/>
    <w:uiPriority w:val="0"/>
    <w:rPr>
      <w:rFonts w:ascii="楷体_GB2312" w:hAnsi="Arial" w:eastAsia="楷体_GB2312"/>
      <w:sz w:val="28"/>
      <w:szCs w:val="28"/>
    </w:rPr>
  </w:style>
  <w:style w:type="paragraph" w:styleId="10">
    <w:name w:val="Body Text Indent"/>
    <w:basedOn w:val="1"/>
    <w:next w:val="11"/>
    <w:autoRedefine/>
    <w:semiHidden/>
    <w:unhideWhenUsed/>
    <w:qFormat/>
    <w:uiPriority w:val="99"/>
    <w:pPr>
      <w:spacing w:after="120"/>
      <w:ind w:left="420" w:leftChars="200"/>
    </w:pPr>
  </w:style>
  <w:style w:type="paragraph" w:styleId="11">
    <w:name w:val="envelope return"/>
    <w:basedOn w:val="1"/>
    <w:autoRedefine/>
    <w:unhideWhenUsed/>
    <w:qFormat/>
    <w:uiPriority w:val="99"/>
    <w:pPr>
      <w:snapToGrid w:val="0"/>
    </w:pPr>
    <w:rPr>
      <w:rFonts w:ascii="Arial" w:hAnsi="Arial" w:eastAsia="楷体_GB2312" w:cs="Times New Roman"/>
      <w:sz w:val="26"/>
      <w:szCs w:val="20"/>
    </w:rPr>
  </w:style>
  <w:style w:type="paragraph" w:styleId="12">
    <w:name w:val="index 4"/>
    <w:basedOn w:val="1"/>
    <w:next w:val="1"/>
    <w:autoRedefine/>
    <w:qFormat/>
    <w:uiPriority w:val="0"/>
    <w:pPr>
      <w:ind w:left="1260"/>
    </w:pPr>
    <w:rPr>
      <w:rFonts w:ascii="Calibri" w:hAnsi="Calibri" w:eastAsia="宋体" w:cs="Times New Roman"/>
      <w:szCs w:val="20"/>
    </w:rPr>
  </w:style>
  <w:style w:type="paragraph" w:styleId="13">
    <w:name w:val="toc 3"/>
    <w:basedOn w:val="1"/>
    <w:next w:val="1"/>
    <w:autoRedefine/>
    <w:qFormat/>
    <w:uiPriority w:val="0"/>
    <w:pPr>
      <w:ind w:left="840" w:leftChars="400"/>
    </w:pPr>
    <w:rPr>
      <w:rFonts w:ascii="Calibri" w:hAnsi="Calibri" w:eastAsia="宋体" w:cs="Times New Roman"/>
      <w:szCs w:val="20"/>
    </w:rPr>
  </w:style>
  <w:style w:type="paragraph" w:styleId="14">
    <w:name w:val="Plain Text"/>
    <w:basedOn w:val="1"/>
    <w:link w:val="61"/>
    <w:autoRedefine/>
    <w:qFormat/>
    <w:uiPriority w:val="99"/>
    <w:rPr>
      <w:rFonts w:ascii="宋体" w:hAnsi="Courier New" w:eastAsia="宋体" w:cs="Times New Roman"/>
      <w:szCs w:val="20"/>
    </w:rPr>
  </w:style>
  <w:style w:type="paragraph" w:styleId="15">
    <w:name w:val="Balloon Text"/>
    <w:basedOn w:val="1"/>
    <w:link w:val="54"/>
    <w:autoRedefine/>
    <w:semiHidden/>
    <w:unhideWhenUsed/>
    <w:qFormat/>
    <w:uiPriority w:val="99"/>
    <w:rPr>
      <w:sz w:val="18"/>
      <w:szCs w:val="18"/>
    </w:rPr>
  </w:style>
  <w:style w:type="paragraph" w:styleId="16">
    <w:name w:val="footer"/>
    <w:basedOn w:val="1"/>
    <w:link w:val="48"/>
    <w:autoRedefine/>
    <w:unhideWhenUsed/>
    <w:qFormat/>
    <w:uiPriority w:val="99"/>
    <w:pPr>
      <w:tabs>
        <w:tab w:val="center" w:pos="4153"/>
        <w:tab w:val="right" w:pos="8306"/>
      </w:tabs>
      <w:snapToGrid w:val="0"/>
      <w:jc w:val="left"/>
    </w:pPr>
    <w:rPr>
      <w:sz w:val="18"/>
      <w:szCs w:val="18"/>
    </w:rPr>
  </w:style>
  <w:style w:type="paragraph" w:styleId="17">
    <w:name w:val="header"/>
    <w:basedOn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adjustRightInd w:val="0"/>
      <w:jc w:val="left"/>
      <w:textAlignment w:val="baseline"/>
    </w:pPr>
    <w:rPr>
      <w:rFonts w:ascii="Calibri" w:hAnsi="Calibri" w:eastAsia="楷体_GB2312" w:cs="Times New Roman"/>
      <w:sz w:val="24"/>
      <w:szCs w:val="20"/>
    </w:rPr>
  </w:style>
  <w:style w:type="paragraph" w:styleId="19">
    <w:name w:val="Body Text Indent 3"/>
    <w:basedOn w:val="1"/>
    <w:qFormat/>
    <w:uiPriority w:val="99"/>
    <w:pPr>
      <w:ind w:left="645" w:firstLine="645"/>
    </w:pPr>
    <w:rPr>
      <w:sz w:val="16"/>
      <w:szCs w:val="16"/>
    </w:rPr>
  </w:style>
  <w:style w:type="paragraph" w:styleId="20">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21">
    <w:name w:val="Title"/>
    <w:basedOn w:val="1"/>
    <w:next w:val="1"/>
    <w:autoRedefine/>
    <w:qFormat/>
    <w:uiPriority w:val="10"/>
    <w:pPr>
      <w:autoSpaceDE/>
      <w:autoSpaceDN/>
      <w:adjustRightInd/>
      <w:spacing w:before="240" w:beforeLines="0" w:after="60" w:afterLines="0" w:line="360" w:lineRule="auto"/>
      <w:ind w:firstLine="643"/>
      <w:jc w:val="center"/>
      <w:outlineLvl w:val="0"/>
    </w:pPr>
    <w:rPr>
      <w:rFonts w:hint="eastAsia" w:ascii="Cambria" w:hAnsi="Cambria" w:cs="Times New Roman"/>
      <w:b/>
      <w:kern w:val="2"/>
      <w:sz w:val="44"/>
      <w:szCs w:val="32"/>
    </w:rPr>
  </w:style>
  <w:style w:type="paragraph" w:styleId="22">
    <w:name w:val="annotation subject"/>
    <w:basedOn w:val="8"/>
    <w:next w:val="8"/>
    <w:link w:val="56"/>
    <w:autoRedefine/>
    <w:semiHidden/>
    <w:unhideWhenUsed/>
    <w:qFormat/>
    <w:uiPriority w:val="99"/>
    <w:rPr>
      <w:b/>
      <w:bCs/>
    </w:rPr>
  </w:style>
  <w:style w:type="paragraph" w:styleId="23">
    <w:name w:val="Body Text First Indent"/>
    <w:basedOn w:val="1"/>
    <w:next w:val="1"/>
    <w:autoRedefine/>
    <w:unhideWhenUsed/>
    <w:qFormat/>
    <w:uiPriority w:val="99"/>
    <w:pPr>
      <w:ind w:firstLine="420" w:firstLineChars="100"/>
    </w:pPr>
  </w:style>
  <w:style w:type="paragraph" w:styleId="24">
    <w:name w:val="Body Text First Indent 2"/>
    <w:basedOn w:val="10"/>
    <w:next w:val="19"/>
    <w:autoRedefine/>
    <w:unhideWhenUsed/>
    <w:qFormat/>
    <w:uiPriority w:val="99"/>
    <w:pPr>
      <w:ind w:firstLine="420" w:firstLineChars="200"/>
    </w:pPr>
  </w:style>
  <w:style w:type="table" w:styleId="26">
    <w:name w:val="Table Grid"/>
    <w:basedOn w:val="2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qFormat/>
    <w:uiPriority w:val="0"/>
  </w:style>
  <w:style w:type="character" w:styleId="29">
    <w:name w:val="FollowedHyperlink"/>
    <w:basedOn w:val="27"/>
    <w:autoRedefine/>
    <w:semiHidden/>
    <w:unhideWhenUsed/>
    <w:qFormat/>
    <w:uiPriority w:val="99"/>
    <w:rPr>
      <w:color w:val="800080"/>
      <w:u w:val="none"/>
    </w:rPr>
  </w:style>
  <w:style w:type="character" w:styleId="30">
    <w:name w:val="HTML Definition"/>
    <w:basedOn w:val="27"/>
    <w:autoRedefine/>
    <w:semiHidden/>
    <w:unhideWhenUsed/>
    <w:qFormat/>
    <w:uiPriority w:val="99"/>
  </w:style>
  <w:style w:type="character" w:styleId="31">
    <w:name w:val="HTML Typewriter"/>
    <w:basedOn w:val="27"/>
    <w:autoRedefine/>
    <w:semiHidden/>
    <w:unhideWhenUsed/>
    <w:qFormat/>
    <w:uiPriority w:val="99"/>
    <w:rPr>
      <w:rFonts w:ascii="monospace" w:hAnsi="monospace" w:eastAsia="monospace" w:cs="monospace"/>
      <w:sz w:val="20"/>
    </w:rPr>
  </w:style>
  <w:style w:type="character" w:styleId="32">
    <w:name w:val="HTML Acronym"/>
    <w:basedOn w:val="27"/>
    <w:autoRedefine/>
    <w:semiHidden/>
    <w:unhideWhenUsed/>
    <w:qFormat/>
    <w:uiPriority w:val="99"/>
  </w:style>
  <w:style w:type="character" w:styleId="33">
    <w:name w:val="HTML Variable"/>
    <w:basedOn w:val="27"/>
    <w:autoRedefine/>
    <w:semiHidden/>
    <w:unhideWhenUsed/>
    <w:qFormat/>
    <w:uiPriority w:val="99"/>
  </w:style>
  <w:style w:type="character" w:styleId="34">
    <w:name w:val="Hyperlink"/>
    <w:basedOn w:val="27"/>
    <w:autoRedefine/>
    <w:unhideWhenUsed/>
    <w:qFormat/>
    <w:uiPriority w:val="99"/>
    <w:rPr>
      <w:color w:val="0000FF" w:themeColor="hyperlink"/>
      <w:u w:val="single"/>
      <w14:textFill>
        <w14:solidFill>
          <w14:schemeClr w14:val="hlink"/>
        </w14:solidFill>
      </w14:textFill>
    </w:rPr>
  </w:style>
  <w:style w:type="character" w:styleId="35">
    <w:name w:val="HTML Code"/>
    <w:basedOn w:val="27"/>
    <w:autoRedefine/>
    <w:semiHidden/>
    <w:unhideWhenUsed/>
    <w:qFormat/>
    <w:uiPriority w:val="99"/>
    <w:rPr>
      <w:rFonts w:hint="default" w:ascii="monospace" w:hAnsi="monospace" w:eastAsia="monospace" w:cs="monospace"/>
      <w:sz w:val="20"/>
    </w:rPr>
  </w:style>
  <w:style w:type="character" w:styleId="36">
    <w:name w:val="annotation reference"/>
    <w:basedOn w:val="27"/>
    <w:autoRedefine/>
    <w:semiHidden/>
    <w:unhideWhenUsed/>
    <w:qFormat/>
    <w:uiPriority w:val="99"/>
    <w:rPr>
      <w:sz w:val="21"/>
      <w:szCs w:val="21"/>
    </w:rPr>
  </w:style>
  <w:style w:type="character" w:styleId="37">
    <w:name w:val="HTML Cite"/>
    <w:basedOn w:val="27"/>
    <w:autoRedefine/>
    <w:semiHidden/>
    <w:unhideWhenUsed/>
    <w:qFormat/>
    <w:uiPriority w:val="99"/>
  </w:style>
  <w:style w:type="character" w:styleId="38">
    <w:name w:val="HTML Keyboard"/>
    <w:basedOn w:val="27"/>
    <w:autoRedefine/>
    <w:semiHidden/>
    <w:unhideWhenUsed/>
    <w:qFormat/>
    <w:uiPriority w:val="99"/>
    <w:rPr>
      <w:rFonts w:hint="default" w:ascii="monospace" w:hAnsi="monospace" w:eastAsia="monospace" w:cs="monospace"/>
      <w:sz w:val="20"/>
    </w:rPr>
  </w:style>
  <w:style w:type="character" w:styleId="39">
    <w:name w:val="HTML Sample"/>
    <w:basedOn w:val="27"/>
    <w:autoRedefine/>
    <w:semiHidden/>
    <w:unhideWhenUsed/>
    <w:qFormat/>
    <w:uiPriority w:val="99"/>
    <w:rPr>
      <w:rFonts w:hint="default" w:ascii="monospace" w:hAnsi="monospace" w:eastAsia="monospace" w:cs="monospace"/>
    </w:rPr>
  </w:style>
  <w:style w:type="paragraph" w:customStyle="1" w:styleId="40">
    <w:name w:val="正文文本1"/>
    <w:basedOn w:val="1"/>
    <w:qFormat/>
    <w:uiPriority w:val="0"/>
    <w:pPr>
      <w:spacing w:line="400" w:lineRule="exact"/>
    </w:pPr>
    <w:rPr>
      <w:rFonts w:ascii="楷体_GB2312"/>
      <w:sz w:val="28"/>
      <w:lang w:val="en-US" w:eastAsia="en-US"/>
    </w:rPr>
  </w:style>
  <w:style w:type="paragraph" w:customStyle="1" w:styleId="41">
    <w:name w:val="正文首行缩进 21"/>
    <w:basedOn w:val="10"/>
    <w:autoRedefine/>
    <w:unhideWhenUsed/>
    <w:qFormat/>
    <w:uiPriority w:val="0"/>
    <w:pPr>
      <w:ind w:firstLine="420"/>
    </w:pPr>
    <w:rPr>
      <w:lang w:val="en-US" w:eastAsia="en-US"/>
    </w:rPr>
  </w:style>
  <w:style w:type="paragraph" w:customStyle="1" w:styleId="42">
    <w:name w:val="首行缩进"/>
    <w:basedOn w:val="1"/>
    <w:qFormat/>
    <w:uiPriority w:val="0"/>
    <w:pPr>
      <w:ind w:firstLine="480" w:firstLineChars="200"/>
    </w:pPr>
    <w:rPr>
      <w:lang w:val="zh-CN"/>
    </w:rPr>
  </w:style>
  <w:style w:type="paragraph" w:customStyle="1" w:styleId="43">
    <w:name w:val="无间隔1"/>
    <w:qFormat/>
    <w:uiPriority w:val="0"/>
    <w:pPr>
      <w:spacing w:line="300" w:lineRule="auto"/>
    </w:pPr>
    <w:rPr>
      <w:rFonts w:ascii="Times New Roman" w:hAnsi="Times New Roman" w:eastAsia="华文仿宋" w:cs="Times New Roman"/>
      <w:sz w:val="24"/>
      <w:szCs w:val="24"/>
      <w:lang w:val="en-US" w:eastAsia="zh-CN" w:bidi="ar-SA"/>
    </w:rPr>
  </w:style>
  <w:style w:type="paragraph" w:customStyle="1" w:styleId="44">
    <w:name w:val="Default"/>
    <w:autoRedefine/>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 w:type="paragraph" w:customStyle="1" w:styleId="45">
    <w:name w:val="正文文本缩进1"/>
    <w:basedOn w:val="1"/>
    <w:next w:val="46"/>
    <w:autoRedefine/>
    <w:unhideWhenUsed/>
    <w:qFormat/>
    <w:uiPriority w:val="0"/>
    <w:pPr>
      <w:spacing w:after="120"/>
      <w:ind w:left="420"/>
    </w:pPr>
    <w:rPr>
      <w:rFonts w:ascii="Times New Roman" w:hAnsi="Times New Roman"/>
      <w:lang w:val="en-US" w:eastAsia="en-US"/>
    </w:rPr>
  </w:style>
  <w:style w:type="paragraph" w:customStyle="1" w:styleId="46">
    <w:name w:val="寄信人地址1"/>
    <w:basedOn w:val="1"/>
    <w:autoRedefine/>
    <w:unhideWhenUsed/>
    <w:qFormat/>
    <w:uiPriority w:val="99"/>
    <w:rPr>
      <w:rFonts w:ascii="Arial" w:hAnsi="Arial" w:eastAsia="楷体_GB2312" w:cs="Times New Roman"/>
      <w:sz w:val="26"/>
      <w:szCs w:val="20"/>
    </w:rPr>
  </w:style>
  <w:style w:type="character" w:customStyle="1" w:styleId="47">
    <w:name w:val="页眉 Char"/>
    <w:basedOn w:val="27"/>
    <w:link w:val="17"/>
    <w:autoRedefine/>
    <w:qFormat/>
    <w:uiPriority w:val="99"/>
    <w:rPr>
      <w:sz w:val="18"/>
      <w:szCs w:val="18"/>
    </w:rPr>
  </w:style>
  <w:style w:type="character" w:customStyle="1" w:styleId="48">
    <w:name w:val="页脚 Char"/>
    <w:basedOn w:val="27"/>
    <w:link w:val="16"/>
    <w:autoRedefine/>
    <w:qFormat/>
    <w:uiPriority w:val="99"/>
    <w:rPr>
      <w:sz w:val="18"/>
      <w:szCs w:val="18"/>
    </w:rPr>
  </w:style>
  <w:style w:type="character" w:customStyle="1" w:styleId="49">
    <w:name w:val="正文缩进 Char"/>
    <w:link w:val="5"/>
    <w:autoRedefine/>
    <w:qFormat/>
    <w:uiPriority w:val="0"/>
    <w:rPr>
      <w:rFonts w:ascii="Calibri" w:hAnsi="Calibri" w:eastAsia="楷体_GB2312" w:cs="Times New Roman"/>
      <w:kern w:val="0"/>
      <w:sz w:val="24"/>
      <w:szCs w:val="20"/>
    </w:rPr>
  </w:style>
  <w:style w:type="character" w:customStyle="1" w:styleId="50">
    <w:name w:val="标题 1 Char"/>
    <w:basedOn w:val="27"/>
    <w:link w:val="2"/>
    <w:autoRedefine/>
    <w:qFormat/>
    <w:uiPriority w:val="0"/>
    <w:rPr>
      <w:rFonts w:ascii="Calibri" w:hAnsi="Calibri" w:eastAsia="楷体_GB2312" w:cs="Times New Roman"/>
      <w:b/>
      <w:kern w:val="44"/>
      <w:sz w:val="44"/>
      <w:szCs w:val="20"/>
    </w:rPr>
  </w:style>
  <w:style w:type="character" w:customStyle="1" w:styleId="51">
    <w:name w:val="标题 2 Char"/>
    <w:basedOn w:val="27"/>
    <w:link w:val="3"/>
    <w:autoRedefine/>
    <w:qFormat/>
    <w:uiPriority w:val="9"/>
    <w:rPr>
      <w:rFonts w:asciiTheme="majorHAnsi" w:hAnsiTheme="majorHAnsi" w:eastAsiaTheme="majorEastAsia" w:cstheme="majorBidi"/>
      <w:b/>
      <w:bCs/>
      <w:sz w:val="32"/>
      <w:szCs w:val="32"/>
    </w:rPr>
  </w:style>
  <w:style w:type="character" w:customStyle="1" w:styleId="52">
    <w:name w:val="文档结构图 Char"/>
    <w:basedOn w:val="27"/>
    <w:link w:val="6"/>
    <w:autoRedefine/>
    <w:semiHidden/>
    <w:qFormat/>
    <w:uiPriority w:val="99"/>
    <w:rPr>
      <w:rFonts w:ascii="宋体" w:eastAsia="宋体"/>
      <w:sz w:val="18"/>
      <w:szCs w:val="18"/>
    </w:rPr>
  </w:style>
  <w:style w:type="character" w:customStyle="1" w:styleId="53">
    <w:name w:val="NormalCharacter"/>
    <w:autoRedefine/>
    <w:qFormat/>
    <w:uiPriority w:val="0"/>
    <w:rPr>
      <w:rFonts w:ascii="Times New Roman" w:hAnsi="Times New Roman" w:eastAsia="宋体" w:cs="Times New Roman"/>
    </w:rPr>
  </w:style>
  <w:style w:type="character" w:customStyle="1" w:styleId="54">
    <w:name w:val="批注框文本 Char"/>
    <w:basedOn w:val="27"/>
    <w:link w:val="15"/>
    <w:autoRedefine/>
    <w:semiHidden/>
    <w:qFormat/>
    <w:uiPriority w:val="99"/>
    <w:rPr>
      <w:kern w:val="2"/>
      <w:sz w:val="18"/>
      <w:szCs w:val="18"/>
    </w:rPr>
  </w:style>
  <w:style w:type="character" w:customStyle="1" w:styleId="55">
    <w:name w:val="批注文字 Char"/>
    <w:basedOn w:val="27"/>
    <w:link w:val="8"/>
    <w:autoRedefine/>
    <w:semiHidden/>
    <w:qFormat/>
    <w:uiPriority w:val="99"/>
    <w:rPr>
      <w:kern w:val="2"/>
      <w:sz w:val="21"/>
      <w:szCs w:val="22"/>
    </w:rPr>
  </w:style>
  <w:style w:type="character" w:customStyle="1" w:styleId="56">
    <w:name w:val="批注主题 Char"/>
    <w:basedOn w:val="55"/>
    <w:link w:val="22"/>
    <w:autoRedefine/>
    <w:semiHidden/>
    <w:qFormat/>
    <w:uiPriority w:val="99"/>
    <w:rPr>
      <w:b/>
      <w:bCs/>
      <w:kern w:val="2"/>
      <w:sz w:val="21"/>
      <w:szCs w:val="22"/>
    </w:rPr>
  </w:style>
  <w:style w:type="character" w:customStyle="1" w:styleId="57">
    <w:name w:val="普通正文 Char"/>
    <w:link w:val="58"/>
    <w:autoRedefine/>
    <w:qFormat/>
    <w:uiPriority w:val="0"/>
    <w:rPr>
      <w:rFonts w:ascii="Arial" w:hAnsi="Arial"/>
      <w:sz w:val="24"/>
      <w:szCs w:val="24"/>
    </w:rPr>
  </w:style>
  <w:style w:type="paragraph" w:customStyle="1" w:styleId="58">
    <w:name w:val="普通正文"/>
    <w:basedOn w:val="1"/>
    <w:link w:val="57"/>
    <w:autoRedefine/>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59">
    <w:name w:val="Normal_6"/>
    <w:autoRedefine/>
    <w:qFormat/>
    <w:uiPriority w:val="0"/>
    <w:rPr>
      <w:rFonts w:ascii="Times New Roman" w:hAnsi="Times New Roman" w:eastAsia="Times New Roman" w:cs="Times New Roman"/>
      <w:sz w:val="24"/>
      <w:szCs w:val="24"/>
      <w:lang w:val="en-US" w:eastAsia="zh-CN" w:bidi="ar-SA"/>
    </w:rPr>
  </w:style>
  <w:style w:type="paragraph" w:customStyle="1" w:styleId="60">
    <w:name w:val="Normal_5"/>
    <w:autoRedefine/>
    <w:qFormat/>
    <w:uiPriority w:val="0"/>
    <w:rPr>
      <w:rFonts w:ascii="Times New Roman" w:hAnsi="Times New Roman" w:eastAsia="Times New Roman" w:cs="Times New Roman"/>
      <w:sz w:val="24"/>
      <w:szCs w:val="24"/>
      <w:lang w:val="en-US" w:eastAsia="zh-CN" w:bidi="ar-SA"/>
    </w:rPr>
  </w:style>
  <w:style w:type="character" w:customStyle="1" w:styleId="61">
    <w:name w:val="纯文本 Char"/>
    <w:basedOn w:val="27"/>
    <w:link w:val="14"/>
    <w:autoRedefine/>
    <w:qFormat/>
    <w:locked/>
    <w:uiPriority w:val="0"/>
    <w:rPr>
      <w:rFonts w:ascii="宋体" w:hAnsi="Courier New" w:eastAsia="宋体" w:cs="Times New Roman"/>
      <w:kern w:val="2"/>
      <w:sz w:val="21"/>
    </w:rPr>
  </w:style>
  <w:style w:type="paragraph" w:styleId="62">
    <w:name w:val="List Paragraph"/>
    <w:basedOn w:val="1"/>
    <w:autoRedefine/>
    <w:qFormat/>
    <w:uiPriority w:val="34"/>
    <w:pPr>
      <w:ind w:firstLine="420" w:firstLineChars="200"/>
    </w:pPr>
    <w:rPr>
      <w:rFonts w:ascii="Times New Roman" w:hAnsi="Times New Roman" w:eastAsia="宋体" w:cs="Times New Roman"/>
      <w:szCs w:val="21"/>
    </w:rPr>
  </w:style>
  <w:style w:type="paragraph" w:customStyle="1" w:styleId="63">
    <w:name w:val="正文1"/>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64">
    <w:name w:val="列出段落2"/>
    <w:basedOn w:val="1"/>
    <w:autoRedefine/>
    <w:qFormat/>
    <w:uiPriority w:val="99"/>
    <w:pPr>
      <w:ind w:firstLine="420" w:firstLineChars="200"/>
    </w:pPr>
    <w:rPr>
      <w:rFonts w:ascii="Times New Roman" w:hAnsi="Times New Roman"/>
      <w:szCs w:val="24"/>
    </w:rPr>
  </w:style>
  <w:style w:type="character" w:customStyle="1" w:styleId="65">
    <w:name w:val="样式 小四 加粗"/>
    <w:basedOn w:val="27"/>
    <w:autoRedefine/>
    <w:qFormat/>
    <w:uiPriority w:val="0"/>
    <w:rPr>
      <w:rFonts w:eastAsia="黑体"/>
      <w:b/>
      <w:bCs/>
      <w:sz w:val="24"/>
    </w:rPr>
  </w:style>
  <w:style w:type="character" w:customStyle="1" w:styleId="66">
    <w:name w:val="first-child"/>
    <w:basedOn w:val="27"/>
    <w:autoRedefine/>
    <w:qFormat/>
    <w:uiPriority w:val="0"/>
  </w:style>
  <w:style w:type="character" w:customStyle="1" w:styleId="67">
    <w:name w:val="hover3"/>
    <w:basedOn w:val="27"/>
    <w:autoRedefine/>
    <w:qFormat/>
    <w:uiPriority w:val="0"/>
    <w:rPr>
      <w:color w:val="5FB878"/>
    </w:rPr>
  </w:style>
  <w:style w:type="character" w:customStyle="1" w:styleId="68">
    <w:name w:val="hover4"/>
    <w:basedOn w:val="27"/>
    <w:autoRedefine/>
    <w:qFormat/>
    <w:uiPriority w:val="0"/>
    <w:rPr>
      <w:color w:val="5FB878"/>
    </w:rPr>
  </w:style>
  <w:style w:type="character" w:customStyle="1" w:styleId="69">
    <w:name w:val="hover5"/>
    <w:basedOn w:val="27"/>
    <w:autoRedefine/>
    <w:qFormat/>
    <w:uiPriority w:val="0"/>
    <w:rPr>
      <w:color w:val="FFFFFF"/>
    </w:rPr>
  </w:style>
  <w:style w:type="character" w:customStyle="1" w:styleId="70">
    <w:name w:val="layui-this"/>
    <w:basedOn w:val="27"/>
    <w:autoRedefine/>
    <w:qFormat/>
    <w:uiPriority w:val="0"/>
    <w:rPr>
      <w:bdr w:val="single" w:color="EEEEEE" w:sz="6" w:space="0"/>
      <w:shd w:val="clear" w:fill="FFFFFF"/>
    </w:rPr>
  </w:style>
  <w:style w:type="paragraph" w:customStyle="1" w:styleId="71">
    <w:name w:val="正文缩进2格"/>
    <w:basedOn w:val="1"/>
    <w:qFormat/>
    <w:uiPriority w:val="0"/>
    <w:pPr>
      <w:spacing w:line="600" w:lineRule="exact"/>
      <w:ind w:firstLine="206"/>
    </w:pPr>
    <w:rPr>
      <w:rFonts w:ascii="仿宋_GB2312" w:hAnsi="宋体" w:eastAsia="仿宋_GB2312"/>
      <w:sz w:val="31"/>
      <w:szCs w:val="31"/>
    </w:rPr>
  </w:style>
  <w:style w:type="character" w:customStyle="1" w:styleId="72">
    <w:name w:val="font51"/>
    <w:qFormat/>
    <w:uiPriority w:val="0"/>
    <w:rPr>
      <w:rFonts w:hint="eastAsia" w:ascii="宋体" w:hAnsi="宋体" w:eastAsia="宋体" w:cs="宋体"/>
      <w:color w:val="000000"/>
      <w:sz w:val="20"/>
      <w:szCs w:val="20"/>
      <w:u w:val="none"/>
    </w:rPr>
  </w:style>
  <w:style w:type="character" w:customStyle="1" w:styleId="73">
    <w:name w:val="fontstyle01"/>
    <w:basedOn w:val="27"/>
    <w:autoRedefine/>
    <w:qFormat/>
    <w:uiPriority w:val="0"/>
    <w:rPr>
      <w:rFonts w:hint="default" w:ascii="PingFangSC-Regular-Identity-H" w:hAnsi="PingFangSC-Regular-Identity-H"/>
      <w:color w:val="000008"/>
      <w:sz w:val="24"/>
      <w:szCs w:val="24"/>
    </w:rPr>
  </w:style>
  <w:style w:type="character" w:customStyle="1" w:styleId="74">
    <w:name w:val="fontstyle21"/>
    <w:basedOn w:val="27"/>
    <w:autoRedefine/>
    <w:qFormat/>
    <w:uiPriority w:val="0"/>
    <w:rPr>
      <w:rFonts w:hint="default" w:ascii="TimesNewRomanPSMT" w:hAnsi="TimesNewRomanPSMT"/>
      <w:color w:val="000008"/>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17659</Words>
  <Characters>18092</Characters>
  <Lines>120</Lines>
  <Paragraphs>33</Paragraphs>
  <TotalTime>4</TotalTime>
  <ScaleCrop>false</ScaleCrop>
  <LinksUpToDate>false</LinksUpToDate>
  <CharactersWithSpaces>18355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Administrator</cp:lastModifiedBy>
  <dcterms:modified xsi:type="dcterms:W3CDTF">2024-10-19T01:53:23Z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079A696EDF02486BB848DA2AE0392408_13</vt:lpwstr>
  </property>
</Properties>
</file>