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p>
    <w:p>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pStyle w:val="52"/>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sz w:val="56"/>
          <w:szCs w:val="56"/>
          <w:lang w:eastAsia="zh-CN"/>
        </w:rPr>
      </w:pPr>
      <w:r>
        <w:rPr>
          <w:rFonts w:hint="eastAsia" w:ascii="Times New Roman" w:hAnsi="Times New Roman" w:eastAsia="宋体"/>
          <w:b/>
          <w:sz w:val="56"/>
          <w:szCs w:val="56"/>
          <w:lang w:eastAsia="zh-CN"/>
        </w:rPr>
        <w:t>南通市第三人民医院电梯维护保养服务项目</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56"/>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36"/>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sz w:val="30"/>
          <w:szCs w:val="30"/>
        </w:rPr>
      </w:pP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keepNext w:val="0"/>
        <w:keepLines w:val="0"/>
        <w:pageBreakBefore w:val="0"/>
        <w:widowControl w:val="0"/>
        <w:kinsoku/>
        <w:wordWrap/>
        <w:topLinePunct w:val="0"/>
        <w:autoSpaceDE/>
        <w:autoSpaceDN/>
        <w:bidi w:val="0"/>
        <w:adjustRightInd w:val="0"/>
        <w:snapToGrid w:val="0"/>
        <w:spacing w:line="360" w:lineRule="auto"/>
        <w:jc w:val="center"/>
        <w:rPr>
          <w:rFonts w:hint="eastAsia" w:ascii="Times New Roman" w:hAnsi="Times New Roman" w:eastAsia="宋体" w:cs="仿宋"/>
          <w:b/>
          <w:sz w:val="32"/>
          <w:szCs w:val="32"/>
          <w:lang w:eastAsia="zh-CN"/>
        </w:rPr>
      </w:pPr>
      <w:r>
        <w:rPr>
          <w:rFonts w:hint="eastAsia" w:ascii="Times New Roman" w:hAnsi="Times New Roman" w:eastAsia="宋体" w:cs="仿宋"/>
          <w:b/>
          <w:sz w:val="32"/>
          <w:szCs w:val="32"/>
        </w:rPr>
        <w:t>二○二</w:t>
      </w:r>
      <w:r>
        <w:rPr>
          <w:rFonts w:hint="eastAsia" w:ascii="Times New Roman" w:hAnsi="Times New Roman" w:eastAsia="宋体" w:cs="仿宋"/>
          <w:b/>
          <w:sz w:val="32"/>
          <w:szCs w:val="32"/>
          <w:lang w:eastAsia="zh-CN"/>
        </w:rPr>
        <w:t>四</w:t>
      </w:r>
      <w:r>
        <w:rPr>
          <w:rFonts w:hint="eastAsia" w:ascii="Times New Roman" w:hAnsi="Times New Roman" w:eastAsia="宋体" w:cs="仿宋"/>
          <w:b/>
          <w:sz w:val="32"/>
          <w:szCs w:val="32"/>
        </w:rPr>
        <w:t>年</w:t>
      </w:r>
      <w:r>
        <w:rPr>
          <w:rFonts w:hint="eastAsia" w:ascii="Times New Roman" w:hAnsi="Times New Roman" w:eastAsia="宋体" w:cs="仿宋"/>
          <w:b/>
          <w:sz w:val="32"/>
          <w:szCs w:val="32"/>
          <w:lang w:eastAsia="zh-CN"/>
        </w:rPr>
        <w:t>三月</w:t>
      </w:r>
    </w:p>
    <w:p>
      <w:pPr>
        <w:keepNext w:val="0"/>
        <w:keepLines w:val="0"/>
        <w:pageBreakBefore w:val="0"/>
        <w:widowControl w:val="0"/>
        <w:wordWrap/>
        <w:topLinePunct w:val="0"/>
        <w:bidi w:val="0"/>
        <w:spacing w:line="360" w:lineRule="auto"/>
        <w:rPr>
          <w:rFonts w:hint="eastAsia" w:ascii="Times New Roman" w:hAnsi="Times New Roman" w:eastAsia="宋体" w:cs="仿宋"/>
          <w:b/>
          <w:sz w:val="32"/>
          <w:szCs w:val="32"/>
          <w:lang w:eastAsia="zh-CN"/>
        </w:rPr>
      </w:pPr>
      <w:r>
        <w:rPr>
          <w:rFonts w:hint="eastAsia" w:ascii="Times New Roman" w:hAnsi="Times New Roman" w:eastAsia="宋体" w:cs="仿宋"/>
          <w:b/>
          <w:sz w:val="32"/>
          <w:szCs w:val="32"/>
          <w:lang w:eastAsia="zh-CN"/>
        </w:rPr>
        <w:br w:type="page"/>
      </w:r>
    </w:p>
    <w:p>
      <w:pPr>
        <w:pStyle w:val="7"/>
        <w:keepNext w:val="0"/>
        <w:keepLines w:val="0"/>
        <w:pageBreakBefore w:val="0"/>
        <w:widowControl w:val="0"/>
        <w:wordWrap/>
        <w:topLinePunct w:val="0"/>
        <w:bidi w:val="0"/>
        <w:spacing w:line="360" w:lineRule="auto"/>
        <w:rPr>
          <w:rFonts w:hint="eastAsia" w:ascii="Times New Roman" w:hAnsi="Times New Roman" w:eastAsia="宋体"/>
        </w:rPr>
      </w:pPr>
    </w:p>
    <w:p>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5"/>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sz w:val="30"/>
        </w:rPr>
      </w:pPr>
    </w:p>
    <w:p>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8"/>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pPr>
        <w:keepNext w:val="0"/>
        <w:keepLines w:val="0"/>
        <w:pageBreakBefore w:val="0"/>
        <w:widowControl w:val="0"/>
        <w:kinsoku/>
        <w:wordWrap/>
        <w:topLinePunct w:val="0"/>
        <w:autoSpaceDE/>
        <w:autoSpaceDN/>
        <w:bidi w:val="0"/>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keepNext w:val="0"/>
        <w:keepLines w:val="0"/>
        <w:pageBreakBefore w:val="0"/>
        <w:widowControl w:val="0"/>
        <w:kinsoku/>
        <w:wordWrap/>
        <w:topLinePunct w:val="0"/>
        <w:autoSpaceDE/>
        <w:autoSpaceDN/>
        <w:bidi w:val="0"/>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3"/>
        <w:keepNext w:val="0"/>
        <w:keepLines w:val="0"/>
        <w:pageBreakBefore w:val="0"/>
        <w:widowControl w:val="0"/>
        <w:kinsoku/>
        <w:wordWrap/>
        <w:topLinePunct w:val="0"/>
        <w:autoSpaceDE/>
        <w:autoSpaceDN/>
        <w:bidi w:val="0"/>
        <w:spacing w:after="0" w:line="360" w:lineRule="auto"/>
        <w:rPr>
          <w:rFonts w:ascii="Times New Roman" w:hAnsi="Times New Roman" w:eastAsia="宋体"/>
        </w:rPr>
      </w:pPr>
      <w:r>
        <w:rPr>
          <w:rFonts w:ascii="Times New Roman" w:hAnsi="Times New Roman" w:eastAsia="宋体"/>
        </w:rPr>
        <w:br w:type="page"/>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sz w:val="24"/>
          <w:szCs w:val="24"/>
          <w:highlight w:val="none"/>
          <w:u w:val="single"/>
        </w:rPr>
      </w:pPr>
      <w:r>
        <w:rPr>
          <w:rFonts w:hint="eastAsia" w:ascii="Times New Roman" w:hAnsi="Times New Roman" w:eastAsia="宋体" w:cs="Times New Roman"/>
          <w:sz w:val="24"/>
          <w:szCs w:val="24"/>
          <w:lang w:eastAsia="zh-CN"/>
        </w:rPr>
        <w:t>南通市第三人民医院电梯维护保养服务项目</w:t>
      </w:r>
      <w:r>
        <w:rPr>
          <w:rFonts w:hint="eastAsia" w:ascii="Times New Roman" w:hAnsi="Times New Roman" w:eastAsia="宋体" w:cs="Times New Roman"/>
          <w:sz w:val="24"/>
          <w:szCs w:val="24"/>
        </w:rPr>
        <w:t>的潜在供应商应在南通市第三人民医院官网获取采购文件，并于</w:t>
      </w:r>
      <w:r>
        <w:rPr>
          <w:rFonts w:hint="eastAsia" w:ascii="Times New Roman" w:hAnsi="Times New Roman" w:eastAsia="宋体" w:cs="宋体"/>
          <w:sz w:val="24"/>
          <w:szCs w:val="24"/>
          <w:highlight w:val="none"/>
          <w:u w:val="single"/>
        </w:rPr>
        <w:t>20</w:t>
      </w:r>
      <w:r>
        <w:rPr>
          <w:rFonts w:hint="eastAsia" w:ascii="Times New Roman" w:hAnsi="Times New Roman" w:eastAsia="宋体" w:cs="宋体"/>
          <w:sz w:val="24"/>
          <w:szCs w:val="24"/>
          <w:highlight w:val="none"/>
          <w:u w:val="single"/>
          <w:lang w:val="en-US" w:eastAsia="zh-CN"/>
        </w:rPr>
        <w:t>24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3</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26</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bCs/>
          <w:sz w:val="24"/>
          <w:szCs w:val="24"/>
          <w:highlight w:val="none"/>
        </w:rPr>
        <w:t>（北京时间）</w:t>
      </w:r>
      <w:r>
        <w:rPr>
          <w:rFonts w:hint="eastAsia" w:ascii="Times New Roman" w:hAnsi="Times New Roman" w:eastAsia="宋体" w:cs="Times New Roman"/>
          <w:sz w:val="24"/>
          <w:szCs w:val="24"/>
          <w:highlight w:val="none"/>
        </w:rPr>
        <w:t>前提交响应文件。</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一、项目基本情况</w:t>
      </w:r>
    </w:p>
    <w:p>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rPr>
        <w:t>1、项目编号：</w:t>
      </w:r>
      <w:r>
        <w:rPr>
          <w:rFonts w:hint="eastAsia" w:ascii="Times New Roman" w:hAnsi="Times New Roman" w:eastAsia="宋体" w:cs="宋体"/>
          <w:sz w:val="24"/>
          <w:szCs w:val="24"/>
          <w:highlight w:val="none"/>
          <w:lang w:val="en-US" w:eastAsia="zh-CN"/>
        </w:rPr>
        <w:t>SY-HXTDDTWB2403001</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2、项目名称：</w:t>
      </w:r>
      <w:r>
        <w:rPr>
          <w:rFonts w:hint="eastAsia" w:ascii="Times New Roman" w:hAnsi="Times New Roman" w:eastAsia="宋体" w:cs="Times New Roman"/>
          <w:sz w:val="24"/>
          <w:szCs w:val="24"/>
          <w:highlight w:val="none"/>
          <w:lang w:eastAsia="zh-CN"/>
        </w:rPr>
        <w:t>南通市第三人民医院电梯维护保养服务项目</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3、采购人式：□竞争性谈判 </w:t>
      </w:r>
      <w:r>
        <w:rPr>
          <w:rFonts w:hint="eastAsia" w:ascii="Times New Roman" w:hAnsi="Times New Roman" w:eastAsia="宋体" w:cs="MS Mincho"/>
          <w:sz w:val="24"/>
          <w:szCs w:val="24"/>
          <w:highlight w:val="none"/>
        </w:rPr>
        <w:t>☑</w:t>
      </w:r>
      <w:r>
        <w:rPr>
          <w:rFonts w:hint="eastAsia" w:ascii="Times New Roman" w:hAnsi="Times New Roman" w:eastAsia="宋体" w:cs="宋体"/>
          <w:sz w:val="24"/>
          <w:szCs w:val="24"/>
          <w:highlight w:val="none"/>
        </w:rPr>
        <w:t>竞争性磋商 □询价</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4、预算金额：</w:t>
      </w:r>
      <w:r>
        <w:rPr>
          <w:rFonts w:hint="eastAsia" w:ascii="Times New Roman" w:hAnsi="Times New Roman" w:eastAsia="宋体" w:cs="宋体"/>
          <w:sz w:val="24"/>
          <w:szCs w:val="24"/>
          <w:highlight w:val="none"/>
          <w:u w:val="none"/>
          <w:lang w:val="en-US" w:eastAsia="zh-CN"/>
        </w:rPr>
        <w:t>10.8</w:t>
      </w:r>
      <w:r>
        <w:rPr>
          <w:rFonts w:hint="eastAsia" w:ascii="Times New Roman" w:hAnsi="Times New Roman" w:eastAsia="宋体" w:cs="宋体"/>
          <w:sz w:val="24"/>
          <w:szCs w:val="24"/>
          <w:highlight w:val="none"/>
        </w:rPr>
        <w:t>万元</w:t>
      </w:r>
      <w:r>
        <w:rPr>
          <w:rFonts w:hint="eastAsia" w:ascii="宋体" w:hAnsi="宋体" w:eastAsia="宋体" w:cs="宋体"/>
          <w:sz w:val="24"/>
          <w:szCs w:val="24"/>
          <w:highlight w:val="none"/>
          <w:lang w:eastAsia="zh-CN"/>
        </w:rPr>
        <w:t>/</w:t>
      </w:r>
      <w:r>
        <w:rPr>
          <w:rFonts w:hint="eastAsia" w:ascii="Times New Roman" w:hAnsi="Times New Roman" w:eastAsia="宋体" w:cs="宋体"/>
          <w:sz w:val="24"/>
          <w:szCs w:val="24"/>
          <w:highlight w:val="none"/>
          <w:lang w:eastAsia="zh-CN"/>
        </w:rPr>
        <w:t>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u w:val="single"/>
        </w:rPr>
      </w:pPr>
      <w:r>
        <w:rPr>
          <w:rFonts w:hint="eastAsia" w:ascii="Times New Roman" w:hAnsi="Times New Roman" w:eastAsia="宋体" w:cs="宋体"/>
          <w:sz w:val="24"/>
          <w:szCs w:val="24"/>
          <w:highlight w:val="none"/>
        </w:rPr>
        <w:t>5、</w:t>
      </w:r>
      <w:r>
        <w:rPr>
          <w:rFonts w:hint="eastAsia" w:ascii="Times New Roman" w:hAnsi="Times New Roman" w:eastAsia="宋体" w:cs="宋体"/>
          <w:b/>
          <w:bCs/>
          <w:sz w:val="24"/>
          <w:szCs w:val="24"/>
          <w:highlight w:val="none"/>
        </w:rPr>
        <w:t>最高限价：</w:t>
      </w:r>
      <w:r>
        <w:rPr>
          <w:rFonts w:hint="eastAsia" w:ascii="Times New Roman" w:hAnsi="Times New Roman" w:eastAsia="宋体" w:cs="宋体"/>
          <w:b/>
          <w:bCs/>
          <w:sz w:val="24"/>
          <w:szCs w:val="24"/>
          <w:highlight w:val="none"/>
          <w:u w:val="none"/>
          <w:lang w:val="en-US" w:eastAsia="zh-CN"/>
        </w:rPr>
        <w:t>10.8</w:t>
      </w:r>
      <w:r>
        <w:rPr>
          <w:rFonts w:hint="eastAsia" w:ascii="Times New Roman" w:hAnsi="Times New Roman" w:eastAsia="宋体" w:cs="宋体"/>
          <w:b/>
          <w:bCs/>
          <w:sz w:val="24"/>
          <w:szCs w:val="24"/>
          <w:highlight w:val="none"/>
          <w:u w:val="none"/>
        </w:rPr>
        <w:t>万</w:t>
      </w:r>
      <w:r>
        <w:rPr>
          <w:rFonts w:hint="eastAsia" w:ascii="Times New Roman" w:hAnsi="Times New Roman" w:eastAsia="宋体" w:cs="宋体"/>
          <w:b/>
          <w:bCs/>
          <w:sz w:val="24"/>
          <w:szCs w:val="24"/>
          <w:highlight w:val="none"/>
        </w:rPr>
        <w:t>元</w:t>
      </w:r>
      <w:r>
        <w:rPr>
          <w:rFonts w:hint="eastAsia" w:ascii="宋体" w:hAnsi="宋体" w:eastAsia="宋体" w:cs="宋体"/>
          <w:sz w:val="24"/>
          <w:szCs w:val="24"/>
          <w:highlight w:val="none"/>
          <w:lang w:eastAsia="zh-CN"/>
        </w:rPr>
        <w:t>/</w:t>
      </w:r>
      <w:r>
        <w:rPr>
          <w:rFonts w:hint="eastAsia" w:ascii="Times New Roman" w:hAnsi="Times New Roman" w:eastAsia="宋体" w:cs="宋体"/>
          <w:b/>
          <w:bCs/>
          <w:sz w:val="24"/>
          <w:szCs w:val="24"/>
          <w:highlight w:val="none"/>
          <w:lang w:eastAsia="zh-CN"/>
        </w:rPr>
        <w:t>年</w:t>
      </w:r>
      <w:r>
        <w:rPr>
          <w:rFonts w:hint="eastAsia" w:ascii="Times New Roman" w:hAnsi="Times New Roman" w:eastAsia="宋体" w:cs="仿宋"/>
          <w:b/>
          <w:bCs/>
          <w:sz w:val="24"/>
          <w:szCs w:val="20"/>
          <w:highlight w:val="none"/>
        </w:rPr>
        <w:t>，报价超过最高限价的为无效响应文件；</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6、采购需求：</w:t>
      </w:r>
      <w:r>
        <w:rPr>
          <w:rFonts w:hint="eastAsia" w:ascii="Times New Roman" w:hAnsi="Times New Roman" w:eastAsia="宋体" w:cs="Times New Roman"/>
          <w:sz w:val="24"/>
          <w:szCs w:val="24"/>
          <w:highlight w:val="none"/>
          <w:lang w:eastAsia="zh-CN"/>
        </w:rPr>
        <w:t>南通市</w:t>
      </w:r>
      <w:r>
        <w:rPr>
          <w:rFonts w:hint="eastAsia" w:ascii="Times New Roman" w:hAnsi="Times New Roman" w:eastAsia="宋体" w:cs="宋体"/>
          <w:sz w:val="24"/>
          <w:szCs w:val="24"/>
          <w:highlight w:val="none"/>
          <w:lang w:eastAsia="zh-CN"/>
        </w:rPr>
        <w:t>第三人民医院</w:t>
      </w:r>
      <w:r>
        <w:rPr>
          <w:rFonts w:hint="eastAsia" w:ascii="Times New Roman" w:hAnsi="Times New Roman" w:eastAsia="宋体" w:cs="Times New Roman"/>
          <w:sz w:val="24"/>
          <w:szCs w:val="24"/>
          <w:highlight w:val="none"/>
          <w:lang w:eastAsia="zh-CN"/>
        </w:rPr>
        <w:t>电梯维护保养服务，</w:t>
      </w:r>
      <w:r>
        <w:rPr>
          <w:rFonts w:hint="eastAsia" w:ascii="Times New Roman" w:hAnsi="Times New Roman" w:eastAsia="宋体" w:cs="宋体"/>
          <w:sz w:val="24"/>
          <w:szCs w:val="24"/>
          <w:highlight w:val="none"/>
          <w:lang w:eastAsia="zh-CN"/>
        </w:rPr>
        <w:t>需维保电梯24台（含垂直电梯20台，自动扶梯4台），具体内容详见竞争性磋商文件第三章项目需求。</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lang w:val="zh-CN" w:eastAsia="zh-CN"/>
        </w:rPr>
      </w:pPr>
      <w:r>
        <w:rPr>
          <w:rFonts w:hint="eastAsia" w:ascii="Times New Roman" w:hAnsi="Times New Roman" w:eastAsia="宋体" w:cs="宋体"/>
          <w:sz w:val="24"/>
          <w:szCs w:val="24"/>
          <w:highlight w:val="none"/>
        </w:rPr>
        <w:t>7、服务期限</w:t>
      </w:r>
      <w:r>
        <w:rPr>
          <w:rFonts w:ascii="Times New Roman" w:hAnsi="Times New Roman" w:eastAsia="宋体" w:cs="宋体"/>
          <w:sz w:val="24"/>
          <w:szCs w:val="24"/>
          <w:highlight w:val="none"/>
        </w:rPr>
        <w:t>：</w:t>
      </w:r>
      <w:r>
        <w:rPr>
          <w:rFonts w:hint="eastAsia" w:ascii="Times New Roman" w:hAnsi="Times New Roman" w:eastAsia="宋体" w:cs="宋体"/>
          <w:sz w:val="24"/>
          <w:szCs w:val="24"/>
          <w:highlight w:val="none"/>
        </w:rPr>
        <w:t>一年。每年经考核合格后可续签一年，最多可续两年。</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lang w:eastAsia="zh-CN"/>
        </w:rPr>
        <w:t>无</w:t>
      </w:r>
      <w:r>
        <w:rPr>
          <w:rFonts w:hint="eastAsia" w:ascii="Times New Roman" w:hAnsi="Times New Roman" w:eastAsia="宋体" w:cs="宋体"/>
          <w:sz w:val="24"/>
          <w:szCs w:val="24"/>
          <w:u w:val="single"/>
          <w:lang w:val="en-US" w:eastAsia="zh-CN"/>
        </w:rPr>
        <w:t xml:space="preserve"> </w:t>
      </w:r>
      <w:r>
        <w:rPr>
          <w:rFonts w:hint="eastAsia" w:ascii="Times New Roman" w:hAnsi="Times New Roman" w:eastAsia="宋体" w:cs="宋体"/>
          <w:sz w:val="24"/>
          <w:szCs w:val="24"/>
          <w:lang w:eastAsia="zh-CN"/>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keepNext w:val="0"/>
        <w:keepLines w:val="0"/>
        <w:pageBreakBefore w:val="0"/>
        <w:widowControl w:val="0"/>
        <w:numPr>
          <w:ilvl w:val="0"/>
          <w:numId w:val="0"/>
        </w:numPr>
        <w:kinsoku/>
        <w:wordWrap/>
        <w:topLinePunct w:val="0"/>
        <w:autoSpaceDE/>
        <w:autoSpaceDN/>
        <w:bidi w:val="0"/>
        <w:snapToGrid w:val="0"/>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（1）</w:t>
      </w:r>
      <w:r>
        <w:rPr>
          <w:rFonts w:hint="eastAsia" w:ascii="Times New Roman" w:hAnsi="Times New Roman" w:eastAsia="宋体"/>
          <w:bCs/>
          <w:sz w:val="24"/>
          <w:szCs w:val="24"/>
        </w:rPr>
        <w:t>供应商具有独立承担民事责任的能力，提供法人或者其他组织的营业执照等证明文件。</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（2）法定代表人参加</w:t>
      </w:r>
      <w:r>
        <w:rPr>
          <w:rFonts w:hint="eastAsia" w:ascii="Times New Roman" w:hAnsi="Times New Roman" w:eastAsia="宋体"/>
          <w:color w:val="000000"/>
          <w:sz w:val="24"/>
          <w:szCs w:val="24"/>
          <w:lang w:eastAsia="zh-CN"/>
        </w:rPr>
        <w:t>磋商</w:t>
      </w:r>
      <w:r>
        <w:rPr>
          <w:rFonts w:hint="eastAsia" w:ascii="Times New Roman" w:hAnsi="Times New Roman" w:eastAsia="宋体"/>
          <w:color w:val="000000"/>
          <w:sz w:val="24"/>
          <w:szCs w:val="24"/>
        </w:rPr>
        <w:t>的，必须提供法定代表人身份证明及法定代表人本人身份证两项复印件（须加盖单位公章）；非法定代表人参加</w:t>
      </w:r>
      <w:r>
        <w:rPr>
          <w:rFonts w:hint="eastAsia" w:ascii="Times New Roman" w:hAnsi="Times New Roman" w:eastAsia="宋体"/>
          <w:color w:val="000000"/>
          <w:sz w:val="24"/>
          <w:szCs w:val="24"/>
          <w:lang w:eastAsia="zh-CN"/>
        </w:rPr>
        <w:t>磋商</w:t>
      </w:r>
      <w:r>
        <w:rPr>
          <w:rFonts w:hint="eastAsia" w:ascii="Times New Roman" w:hAnsi="Times New Roman" w:eastAsia="宋体"/>
          <w:color w:val="000000"/>
          <w:sz w:val="24"/>
          <w:szCs w:val="24"/>
        </w:rPr>
        <w:t>的，必须提供法定代表人签字或印章的授权委托书及被授权人本人身份证两项复印件；（须加盖单位公章）</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rPr>
      </w:pPr>
      <w:r>
        <w:rPr>
          <w:rFonts w:hint="eastAsia" w:ascii="Times New Roman" w:hAnsi="Times New Roman" w:eastAsia="宋体"/>
          <w:color w:val="auto"/>
          <w:sz w:val="24"/>
          <w:szCs w:val="24"/>
        </w:rPr>
        <w:t>（3）</w:t>
      </w:r>
      <w:r>
        <w:rPr>
          <w:rFonts w:hint="eastAsia" w:ascii="Times New Roman" w:hAnsi="Times New Roman" w:eastAsia="宋体"/>
          <w:color w:val="auto"/>
          <w:sz w:val="24"/>
          <w:szCs w:val="24"/>
          <w:lang w:eastAsia="zh-CN"/>
        </w:rPr>
        <w:t>响应人</w:t>
      </w:r>
      <w:r>
        <w:rPr>
          <w:rFonts w:hint="eastAsia" w:ascii="Times New Roman" w:hAnsi="Times New Roman" w:eastAsia="宋体"/>
          <w:color w:val="auto"/>
          <w:sz w:val="24"/>
          <w:szCs w:val="24"/>
        </w:rPr>
        <w:t>具有《中华人民共和国特种设备安装、改造、维修许可证》可乘客电梯、自动扶梯B级及以上资质。</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信用中国</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网站（www.creditchina.gov.cn）列入失信被执行人、重大税收违法案件当事人名单、政府采购严重失信行为记录名单；</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623"/>
      <w:bookmarkStart w:id="1" w:name="_Toc35393792"/>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w:t>
      </w:r>
      <w:r>
        <w:rPr>
          <w:rFonts w:hint="eastAsia" w:ascii="Times New Roman" w:hAnsi="Times New Roman" w:eastAsia="宋体" w:cs="宋体"/>
          <w:b/>
          <w:kern w:val="0"/>
          <w:sz w:val="24"/>
          <w:szCs w:val="24"/>
          <w:highlight w:val="none"/>
        </w:rPr>
        <w:t>报名</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bookmarkStart w:id="2" w:name="_Toc28359082"/>
      <w:bookmarkStart w:id="3" w:name="_Toc28359005"/>
      <w:bookmarkStart w:id="4" w:name="_Toc35393793"/>
      <w:bookmarkStart w:id="5" w:name="_Toc35393624"/>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3</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25</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18</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w:t>
      </w:r>
      <w:r>
        <w:rPr>
          <w:rFonts w:hint="eastAsia" w:ascii="Times New Roman" w:hAnsi="Times New Roman" w:eastAsia="宋体" w:cs="宋体"/>
          <w:sz w:val="24"/>
          <w:szCs w:val="24"/>
          <w:highlight w:val="none"/>
          <w:lang w:eastAsia="zh-CN"/>
        </w:rPr>
        <w:t>报名时递交给采购代理机构</w:t>
      </w:r>
      <w:r>
        <w:rPr>
          <w:rFonts w:hint="eastAsia" w:ascii="Times New Roman" w:hAnsi="Times New Roman" w:eastAsia="宋体" w:cs="宋体"/>
          <w:sz w:val="24"/>
          <w:szCs w:val="24"/>
          <w:highlight w:val="none"/>
        </w:rPr>
        <w:t>，售后不退。</w:t>
      </w:r>
    </w:p>
    <w:p>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的供应商于202</w:t>
      </w:r>
      <w:r>
        <w:rPr>
          <w:rFonts w:hint="eastAsia" w:ascii="Times New Roman" w:hAnsi="Times New Roman" w:eastAsia="宋体" w:cs="宋体"/>
          <w:b/>
          <w:sz w:val="24"/>
          <w:szCs w:val="24"/>
          <w:highlight w:val="none"/>
          <w:lang w:val="en-US" w:eastAsia="zh-CN"/>
        </w:rPr>
        <w:t>4</w:t>
      </w:r>
      <w:r>
        <w:rPr>
          <w:rFonts w:hint="eastAsia" w:ascii="Times New Roman" w:hAnsi="Times New Roman" w:eastAsia="宋体" w:cs="宋体"/>
          <w:b/>
          <w:sz w:val="24"/>
          <w:szCs w:val="24"/>
          <w:highlight w:val="none"/>
        </w:rPr>
        <w:t>年</w:t>
      </w:r>
      <w:r>
        <w:rPr>
          <w:rFonts w:hint="eastAsia" w:ascii="Times New Roman" w:hAnsi="Times New Roman" w:eastAsia="宋体" w:cs="宋体"/>
          <w:b/>
          <w:sz w:val="24"/>
          <w:szCs w:val="24"/>
          <w:highlight w:val="none"/>
          <w:lang w:val="en-US" w:eastAsia="zh-CN"/>
        </w:rPr>
        <w:t>3</w:t>
      </w:r>
      <w:r>
        <w:rPr>
          <w:rFonts w:hint="eastAsia" w:ascii="Times New Roman" w:hAnsi="Times New Roman" w:eastAsia="宋体" w:cs="宋体"/>
          <w:b/>
          <w:sz w:val="24"/>
          <w:szCs w:val="24"/>
          <w:highlight w:val="none"/>
        </w:rPr>
        <w:t>月</w:t>
      </w:r>
      <w:r>
        <w:rPr>
          <w:rFonts w:hint="eastAsia" w:ascii="Times New Roman" w:hAnsi="Times New Roman" w:eastAsia="宋体" w:cs="宋体"/>
          <w:b/>
          <w:sz w:val="24"/>
          <w:szCs w:val="24"/>
          <w:highlight w:val="none"/>
          <w:lang w:val="en-US" w:eastAsia="zh-CN"/>
        </w:rPr>
        <w:t>25</w:t>
      </w:r>
      <w:r>
        <w:rPr>
          <w:rFonts w:hint="eastAsia" w:ascii="Times New Roman" w:hAnsi="Times New Roman" w:eastAsia="宋体" w:cs="宋体"/>
          <w:b/>
          <w:sz w:val="24"/>
          <w:szCs w:val="24"/>
          <w:highlight w:val="none"/>
        </w:rPr>
        <w:t>日18时00分前</w:t>
      </w:r>
      <w:r>
        <w:rPr>
          <w:rFonts w:hint="eastAsia" w:ascii="Times New Roman" w:hAnsi="Times New Roman" w:eastAsia="宋体" w:cs="宋体"/>
          <w:b/>
          <w:sz w:val="24"/>
          <w:szCs w:val="24"/>
          <w:highlight w:val="none"/>
          <w:lang w:eastAsia="zh-CN"/>
        </w:rPr>
        <w:t>联系</w:t>
      </w:r>
      <w:r>
        <w:rPr>
          <w:rFonts w:hint="eastAsia" w:ascii="Times New Roman" w:hAnsi="Times New Roman" w:eastAsia="宋体" w:cs="宋体"/>
          <w:b/>
          <w:sz w:val="24"/>
          <w:szCs w:val="24"/>
          <w:highlight w:val="none"/>
        </w:rPr>
        <w:t>代理机构报名</w:t>
      </w:r>
      <w:r>
        <w:rPr>
          <w:rFonts w:hint="eastAsia" w:ascii="Times New Roman" w:hAnsi="Times New Roman" w:eastAsia="宋体" w:cs="宋体"/>
          <w:b/>
          <w:bCs w:val="0"/>
          <w:sz w:val="24"/>
          <w:szCs w:val="24"/>
          <w:highlight w:val="none"/>
          <w:lang w:eastAsia="zh-CN"/>
        </w:rPr>
        <w:t>（联系人：</w:t>
      </w:r>
      <w:r>
        <w:rPr>
          <w:rFonts w:hint="eastAsia" w:ascii="Times New Roman" w:hAnsi="Times New Roman" w:eastAsia="宋体"/>
          <w:b/>
          <w:bCs w:val="0"/>
          <w:sz w:val="24"/>
          <w:szCs w:val="24"/>
        </w:rPr>
        <w:t>董安国</w:t>
      </w:r>
      <w:r>
        <w:rPr>
          <w:rFonts w:hint="eastAsia" w:ascii="Times New Roman" w:hAnsi="Times New Roman" w:eastAsia="宋体"/>
          <w:b/>
          <w:bCs w:val="0"/>
          <w:sz w:val="24"/>
          <w:szCs w:val="24"/>
          <w:lang w:eastAsia="zh-CN"/>
        </w:rPr>
        <w:t>，</w:t>
      </w:r>
      <w:r>
        <w:rPr>
          <w:rFonts w:hint="eastAsia" w:ascii="Times New Roman" w:hAnsi="Times New Roman" w:eastAsia="宋体"/>
          <w:b/>
          <w:bCs w:val="0"/>
          <w:sz w:val="24"/>
          <w:szCs w:val="24"/>
        </w:rPr>
        <w:t>联系电话：</w:t>
      </w:r>
      <w:r>
        <w:rPr>
          <w:rFonts w:hint="eastAsia" w:ascii="Times New Roman" w:hAnsi="Times New Roman" w:eastAsia="宋体" w:cs="宋体"/>
          <w:b/>
          <w:bCs w:val="0"/>
          <w:kern w:val="0"/>
          <w:sz w:val="24"/>
        </w:rPr>
        <w:t>18912299056</w:t>
      </w:r>
      <w:r>
        <w:rPr>
          <w:rFonts w:hint="eastAsia" w:ascii="Times New Roman" w:hAnsi="Times New Roman" w:eastAsia="宋体" w:cs="宋体"/>
          <w:b/>
          <w:bCs w:val="0"/>
          <w:kern w:val="0"/>
          <w:sz w:val="24"/>
          <w:lang w:eastAsia="zh-CN"/>
        </w:rPr>
        <w:t>，</w:t>
      </w:r>
      <w:r>
        <w:rPr>
          <w:rFonts w:hint="eastAsia" w:ascii="Times New Roman" w:hAnsi="Times New Roman" w:eastAsia="宋体" w:cs="宋体"/>
          <w:b/>
          <w:bCs w:val="0"/>
          <w:kern w:val="0"/>
          <w:sz w:val="24"/>
        </w:rPr>
        <w:t>邮箱：812298892@qq.com</w:t>
      </w:r>
      <w:r>
        <w:rPr>
          <w:rFonts w:hint="eastAsia" w:ascii="Times New Roman" w:hAnsi="Times New Roman" w:eastAsia="宋体" w:cs="宋体"/>
          <w:b/>
          <w:bCs w:val="0"/>
          <w:sz w:val="24"/>
          <w:szCs w:val="24"/>
          <w:highlight w:val="none"/>
          <w:lang w:eastAsia="zh-CN"/>
        </w:rPr>
        <w:t>）</w:t>
      </w:r>
      <w:r>
        <w:rPr>
          <w:rFonts w:hint="eastAsia" w:ascii="Times New Roman" w:hAnsi="Times New Roman" w:eastAsia="宋体" w:cs="宋体"/>
          <w:b/>
          <w:sz w:val="24"/>
          <w:szCs w:val="24"/>
          <w:highlight w:val="none"/>
        </w:rPr>
        <w:t>，未报名单位不得参加本项目的</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w:t>
      </w:r>
    </w:p>
    <w:bookmarkEnd w:id="2"/>
    <w:bookmarkEnd w:id="3"/>
    <w:bookmarkEnd w:id="4"/>
    <w:bookmarkEnd w:id="5"/>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28359007"/>
      <w:bookmarkStart w:id="7" w:name="_Toc35393625"/>
      <w:bookmarkStart w:id="8" w:name="_Toc35393794"/>
      <w:bookmarkStart w:id="9" w:name="_Toc28359084"/>
      <w:r>
        <w:rPr>
          <w:rFonts w:hint="eastAsia" w:ascii="Times New Roman" w:hAnsi="Times New Roman" w:eastAsia="宋体" w:cs="宋体"/>
          <w:b/>
          <w:kern w:val="0"/>
          <w:sz w:val="24"/>
          <w:szCs w:val="24"/>
          <w:highlight w:val="none"/>
        </w:rPr>
        <w:t>四、响应文件提交</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3</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26</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，如有变动另行通知。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五、开启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w:t>
      </w:r>
      <w:r>
        <w:rPr>
          <w:rFonts w:hint="eastAsia" w:ascii="Times New Roman" w:hAnsi="Times New Roman" w:eastAsia="宋体" w:cs="宋体"/>
          <w:sz w:val="24"/>
          <w:szCs w:val="24"/>
          <w:highlight w:val="none"/>
          <w:u w:val="single"/>
          <w:lang w:val="en-US" w:eastAsia="zh-CN"/>
        </w:rPr>
        <w:t>4</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3</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26</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14</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2、开启文件及开标地点：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w:t>
      </w:r>
      <w:r>
        <w:rPr>
          <w:rFonts w:hint="eastAsia" w:ascii="Times New Roman" w:hAnsi="Times New Roman" w:eastAsia="宋体" w:cs="宋体"/>
          <w:kern w:val="0"/>
          <w:sz w:val="24"/>
          <w:szCs w:val="24"/>
          <w:highlight w:val="none"/>
          <w:lang w:val="en-US" w:eastAsia="zh-CN"/>
        </w:rPr>
        <w:t>磋商保证金：免收。</w:t>
      </w:r>
      <w:r>
        <w:rPr>
          <w:rFonts w:hint="eastAsia" w:ascii="Times New Roman" w:hAnsi="Times New Roman" w:eastAsia="宋体" w:cs="宋体"/>
          <w:kern w:val="0"/>
          <w:sz w:val="24"/>
          <w:szCs w:val="24"/>
          <w:highlight w:val="none"/>
        </w:rPr>
        <w:t>本项目不收取磋商保证金，采购文件中涉及磋商保证金的事项，均按免收保证金执行。</w:t>
      </w:r>
    </w:p>
    <w:p>
      <w:pPr>
        <w:spacing w:line="360" w:lineRule="auto"/>
        <w:ind w:firstLine="480" w:firstLineChars="200"/>
        <w:rPr>
          <w:rFonts w:cs="宋体"/>
          <w:sz w:val="24"/>
          <w:szCs w:val="24"/>
        </w:rPr>
      </w:pPr>
      <w:r>
        <w:rPr>
          <w:rFonts w:hint="eastAsia" w:cs="宋体"/>
          <w:sz w:val="24"/>
          <w:szCs w:val="24"/>
        </w:rPr>
        <w:t>2、履约保证金：</w:t>
      </w:r>
      <w:r>
        <w:rPr>
          <w:rFonts w:hint="eastAsia" w:cs="宋体"/>
          <w:bCs/>
          <w:sz w:val="24"/>
        </w:rPr>
        <w:t>本项目成交后的履约保证金为</w:t>
      </w:r>
      <w:r>
        <w:rPr>
          <w:rFonts w:hint="eastAsia" w:cs="宋体"/>
          <w:b/>
          <w:sz w:val="24"/>
          <w:u w:val="single"/>
        </w:rPr>
        <w:t>项目合同价的5%，</w:t>
      </w:r>
      <w:r>
        <w:rPr>
          <w:rFonts w:hint="eastAsia" w:cs="宋体"/>
          <w:sz w:val="24"/>
          <w:szCs w:val="24"/>
        </w:rPr>
        <w:t>履约保证金必须在合同签订之前缴纳至采购人指定账户，若因为履约保证金缴纳延后影响合同签订时间超过有效期的，采购人有权取消成交资格。</w:t>
      </w:r>
    </w:p>
    <w:p>
      <w:pPr>
        <w:spacing w:line="360" w:lineRule="auto"/>
        <w:ind w:firstLine="480" w:firstLineChars="200"/>
        <w:rPr>
          <w:rFonts w:cs="宋体"/>
          <w:kern w:val="0"/>
          <w:sz w:val="24"/>
          <w:szCs w:val="24"/>
        </w:rPr>
      </w:pPr>
      <w:r>
        <w:rPr>
          <w:rFonts w:hint="eastAsia" w:cs="宋体"/>
          <w:bCs/>
          <w:sz w:val="24"/>
          <w:szCs w:val="24"/>
        </w:rPr>
        <w:t>3、</w:t>
      </w:r>
      <w:r>
        <w:rPr>
          <w:rFonts w:cs="宋体"/>
          <w:kern w:val="0"/>
          <w:sz w:val="24"/>
          <w:szCs w:val="24"/>
        </w:rPr>
        <w:t>项目</w:t>
      </w:r>
      <w:r>
        <w:rPr>
          <w:rFonts w:hint="eastAsia" w:cs="宋体"/>
          <w:kern w:val="0"/>
          <w:sz w:val="24"/>
          <w:szCs w:val="24"/>
        </w:rPr>
        <w:t>磋商</w:t>
      </w:r>
      <w:r>
        <w:rPr>
          <w:rFonts w:cs="宋体"/>
          <w:kern w:val="0"/>
          <w:sz w:val="24"/>
          <w:szCs w:val="24"/>
        </w:rPr>
        <w:t>活动模式：</w:t>
      </w:r>
      <w:r>
        <w:rPr>
          <w:rFonts w:hint="eastAsia" w:cs="宋体"/>
          <w:kern w:val="0"/>
          <w:sz w:val="24"/>
          <w:szCs w:val="24"/>
        </w:rPr>
        <w:t>现场磋商模式</w:t>
      </w:r>
      <w:r>
        <w:rPr>
          <w:rFonts w:cs="宋体"/>
          <w:kern w:val="0"/>
          <w:sz w:val="24"/>
          <w:szCs w:val="24"/>
        </w:rPr>
        <w:t>。</w:t>
      </w:r>
    </w:p>
    <w:p>
      <w:pPr>
        <w:spacing w:line="360" w:lineRule="auto"/>
        <w:ind w:firstLine="480" w:firstLineChars="200"/>
      </w:pPr>
      <w:r>
        <w:rPr>
          <w:rFonts w:hint="eastAsia" w:cs="宋体"/>
          <w:kern w:val="0"/>
          <w:sz w:val="24"/>
          <w:szCs w:val="24"/>
        </w:rPr>
        <w:t>4</w:t>
      </w:r>
      <w:r>
        <w:rPr>
          <w:rFonts w:cs="宋体"/>
          <w:kern w:val="0"/>
          <w:sz w:val="24"/>
          <w:szCs w:val="24"/>
        </w:rPr>
        <w:t>、项目演示、样品、答辩等：无</w:t>
      </w:r>
      <w:r>
        <w:rPr>
          <w:rFonts w:hint="eastAsia" w:cs="宋体"/>
          <w:kern w:val="0"/>
          <w:sz w:val="24"/>
          <w:szCs w:val="24"/>
        </w:rPr>
        <w:t>。</w:t>
      </w:r>
    </w:p>
    <w:p>
      <w:pPr>
        <w:spacing w:line="360" w:lineRule="auto"/>
        <w:ind w:firstLine="480" w:firstLineChars="200"/>
        <w:textAlignment w:val="baseline"/>
        <w:rPr>
          <w:sz w:val="24"/>
          <w:szCs w:val="24"/>
        </w:rPr>
      </w:pPr>
      <w:r>
        <w:rPr>
          <w:rFonts w:hint="eastAsia" w:cs="宋体"/>
          <w:sz w:val="24"/>
        </w:rPr>
        <w:t>5、</w:t>
      </w:r>
      <w:r>
        <w:rPr>
          <w:rFonts w:hint="eastAsia"/>
          <w:sz w:val="24"/>
          <w:szCs w:val="24"/>
        </w:rPr>
        <w:t>对项目需求部分（供应商其他资格要求、项目需求、评分标准）的询问、质疑请向采购人提出，由采购人负责答复；对项目磋商文件其它部分的询问请向采购人或招标代理提出。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sz w:val="24"/>
          <w:szCs w:val="24"/>
        </w:rPr>
      </w:pPr>
      <w:r>
        <w:rPr>
          <w:rFonts w:hint="eastAsia"/>
          <w:sz w:val="24"/>
          <w:szCs w:val="24"/>
        </w:rPr>
        <w:t>6、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ascii="Times New Roman" w:hAnsi="Times New Roman" w:eastAsia="宋体" w:cs="宋体"/>
          <w:b/>
          <w:sz w:val="24"/>
          <w:szCs w:val="24"/>
        </w:rPr>
        <w:t>八、凡对本次采购提出询问，请按以下方式联系</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w:t>
      </w:r>
      <w:r>
        <w:rPr>
          <w:rFonts w:hint="eastAsia" w:ascii="Times New Roman" w:hAnsi="Times New Roman" w:eastAsia="宋体"/>
          <w:sz w:val="24"/>
          <w:szCs w:val="24"/>
          <w:lang w:val="en-US" w:eastAsia="zh-CN"/>
        </w:rPr>
        <w:t>60</w:t>
      </w:r>
      <w:r>
        <w:rPr>
          <w:rFonts w:hint="eastAsia" w:ascii="Times New Roman" w:hAnsi="Times New Roman" w:eastAsia="宋体"/>
          <w:sz w:val="24"/>
          <w:szCs w:val="24"/>
        </w:rPr>
        <w:t>号</w:t>
      </w:r>
    </w:p>
    <w:p>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sz w:val="24"/>
          <w:lang w:eastAsia="zh-CN"/>
        </w:rPr>
      </w:pPr>
      <w:r>
        <w:rPr>
          <w:rFonts w:hint="eastAsia" w:ascii="Times New Roman" w:hAnsi="Times New Roman" w:eastAsia="宋体" w:cs="宋体"/>
          <w:bCs/>
          <w:sz w:val="24"/>
        </w:rPr>
        <w:t>联系人：钱</w:t>
      </w:r>
      <w:r>
        <w:rPr>
          <w:rFonts w:hint="eastAsia" w:ascii="Times New Roman" w:hAnsi="Times New Roman" w:eastAsia="宋体" w:cs="宋体"/>
          <w:bCs/>
          <w:sz w:val="24"/>
          <w:lang w:eastAsia="zh-CN"/>
        </w:rPr>
        <w:t>先生</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kern w:val="0"/>
          <w:sz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9"/>
        <w:keepNext w:val="0"/>
        <w:keepLines w:val="0"/>
        <w:pageBreakBefore w:val="0"/>
        <w:widowControl w:val="0"/>
        <w:kinsoku/>
        <w:wordWrap/>
        <w:topLinePunct w:val="0"/>
        <w:autoSpaceDE/>
        <w:autoSpaceDN/>
        <w:bidi w:val="0"/>
        <w:spacing w:line="360" w:lineRule="auto"/>
        <w:rPr>
          <w:rFonts w:ascii="Times New Roman" w:hAnsi="Times New Roman" w:eastAsia="宋体"/>
          <w:kern w:val="0"/>
        </w:rPr>
      </w:pPr>
      <w:r>
        <w:rPr>
          <w:rFonts w:ascii="Times New Roman" w:hAnsi="Times New Roman" w:eastAsia="宋体"/>
          <w:kern w:val="0"/>
        </w:rPr>
        <w:br w:type="page"/>
      </w:r>
    </w:p>
    <w:p>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正本</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壹份和</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副本</w:t>
      </w:r>
      <w:r>
        <w:rPr>
          <w:rFonts w:hint="eastAsia" w:ascii="Times New Roman" w:hAnsi="Times New Roman" w:eastAsia="宋体" w:cs="宋体"/>
          <w:b/>
          <w:sz w:val="24"/>
          <w:szCs w:val="24"/>
          <w:lang w:eastAsia="zh-CN"/>
        </w:rPr>
        <w:t>”</w:t>
      </w:r>
      <w:r>
        <w:rPr>
          <w:rFonts w:hint="eastAsia" w:ascii="Times New Roman" w:hAnsi="Times New Roman" w:eastAsia="宋体" w:cs="宋体"/>
          <w:b/>
          <w:sz w:val="24"/>
          <w:szCs w:val="24"/>
        </w:rPr>
        <w:t>叁份。</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字样。</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和</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若有差异，概以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为准。</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，其正文内容须按磋商文件要求由供应商法定代表人或被授权人签字（或盖章）并加盖单位公章。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可复印，但须加盖单位公章。</w:t>
      </w:r>
    </w:p>
    <w:p>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正本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或</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副本</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中，均不得含有报价响应文件中报价表（报价单）内的任何项目价格，否则作无效投标处理。</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报价应包括完成本项目所需的一切费用，包括但不限于</w:t>
      </w:r>
      <w:r>
        <w:rPr>
          <w:rFonts w:hint="eastAsia" w:ascii="Times New Roman" w:hAnsi="Times New Roman" w:eastAsia="宋体"/>
          <w:bCs/>
          <w:sz w:val="24"/>
          <w:szCs w:val="24"/>
        </w:rPr>
        <w:t>服务的成本、利润、税金、开办费、政策性调整风险费等的所有费用；</w:t>
      </w:r>
      <w:r>
        <w:rPr>
          <w:rFonts w:hint="eastAsia" w:ascii="Times New Roman" w:hAnsi="Times New Roman" w:eastAsia="宋体" w:cs="宋体"/>
          <w:sz w:val="24"/>
          <w:szCs w:val="24"/>
        </w:rPr>
        <w:t>维保服务费、辅材费、</w:t>
      </w:r>
      <w:r>
        <w:rPr>
          <w:rFonts w:hint="eastAsia" w:ascii="Times New Roman" w:hAnsi="Times New Roman" w:eastAsia="宋体"/>
          <w:bCs/>
          <w:sz w:val="24"/>
          <w:szCs w:val="24"/>
        </w:rPr>
        <w:t>人工费、检测费、管理费；国家税务部门规定的各项税金；相关伴随服务以及售后服务等一切费用</w:t>
      </w:r>
      <w:r>
        <w:rPr>
          <w:rFonts w:hint="eastAsia" w:ascii="Times New Roman" w:hAnsi="Times New Roman" w:eastAsia="宋体" w:cs="宋体"/>
          <w:sz w:val="24"/>
          <w:szCs w:val="24"/>
        </w:rPr>
        <w:t>。同时，报价也应包含合同履行过程中可能发生的一切风险。）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1、磋商文件每套售价300元，在</w:t>
      </w:r>
      <w:r>
        <w:rPr>
          <w:rFonts w:hint="eastAsia" w:ascii="Times New Roman" w:hAnsi="Times New Roman" w:eastAsia="宋体" w:cs="宋体"/>
          <w:sz w:val="24"/>
          <w:szCs w:val="24"/>
          <w:lang w:eastAsia="zh-CN"/>
        </w:rPr>
        <w:t>报名</w:t>
      </w:r>
      <w:r>
        <w:rPr>
          <w:rFonts w:hint="eastAsia" w:ascii="Times New Roman" w:hAnsi="Times New Roman" w:eastAsia="宋体" w:cs="宋体"/>
          <w:sz w:val="24"/>
          <w:szCs w:val="24"/>
        </w:rPr>
        <w:t>的同时提交给</w:t>
      </w:r>
      <w:r>
        <w:rPr>
          <w:rFonts w:hint="eastAsia" w:ascii="Times New Roman" w:hAnsi="Times New Roman" w:eastAsia="宋体" w:cs="宋体"/>
          <w:sz w:val="24"/>
          <w:szCs w:val="24"/>
          <w:lang w:eastAsia="zh-CN"/>
        </w:rPr>
        <w:t>采购</w:t>
      </w:r>
      <w:r>
        <w:rPr>
          <w:rFonts w:hint="eastAsia" w:ascii="Times New Roman" w:hAnsi="Times New Roman" w:eastAsia="宋体" w:cs="宋体"/>
          <w:sz w:val="24"/>
          <w:szCs w:val="24"/>
        </w:rPr>
        <w:t>代理机构。</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服务费按差额定率累进法计算，以成交通知书确定的</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金额作为收费的计算依据，按招标收费标准下浮40%计算，不满1500元的，按1500元收取。</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日历天</w:t>
      </w:r>
      <w:r>
        <w:rPr>
          <w:rFonts w:hint="eastAsia" w:ascii="Times New Roman" w:hAnsi="Times New Roman" w:eastAsia="宋体" w:cs="宋体"/>
          <w:bCs/>
          <w:sz w:val="24"/>
          <w:szCs w:val="24"/>
          <w:lang w:eastAsia="zh-CN"/>
        </w:rPr>
        <w:t>”</w:t>
      </w:r>
      <w:r>
        <w:rPr>
          <w:rFonts w:hint="eastAsia" w:ascii="Times New Roman" w:hAnsi="Times New Roman" w:eastAsia="宋体" w:cs="宋体"/>
          <w:bCs/>
          <w:sz w:val="24"/>
          <w:szCs w:val="24"/>
        </w:rPr>
        <w:t>内响应文件应保持有效。有效期短于这个规定期限的磋商，将被拒绝。</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keepNext w:val="0"/>
        <w:keepLines w:val="0"/>
        <w:pageBreakBefore w:val="0"/>
        <w:widowControl w:val="0"/>
        <w:wordWrap/>
        <w:topLinePunct w:val="0"/>
        <w:bidi w:val="0"/>
        <w:spacing w:line="360" w:lineRule="auto"/>
        <w:ind w:firstLine="482" w:firstLineChars="200"/>
        <w:rPr>
          <w:rFonts w:hint="eastAsia" w:ascii="Times New Roman" w:hAnsi="Times New Roman" w:eastAsia="宋体" w:cs="宋体"/>
          <w:b/>
          <w:kern w:val="0"/>
          <w:sz w:val="24"/>
          <w:szCs w:val="24"/>
          <w:lang w:val="zh-CN"/>
        </w:rPr>
      </w:pPr>
      <w:r>
        <w:rPr>
          <w:rFonts w:hint="eastAsia" w:ascii="Times New Roman" w:hAnsi="Times New Roman" w:eastAsia="宋体" w:cs="宋体"/>
          <w:b/>
          <w:sz w:val="24"/>
          <w:szCs w:val="24"/>
        </w:rPr>
        <w:t>一、</w:t>
      </w:r>
      <w:r>
        <w:rPr>
          <w:rFonts w:hint="eastAsia" w:ascii="Times New Roman" w:hAnsi="Times New Roman" w:eastAsia="宋体" w:cs="宋体"/>
          <w:b/>
          <w:kern w:val="0"/>
          <w:sz w:val="24"/>
          <w:szCs w:val="24"/>
          <w:lang w:val="zh-CN"/>
        </w:rPr>
        <w:t>项目名称</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仿宋"/>
          <w:sz w:val="24"/>
          <w:szCs w:val="24"/>
          <w:lang w:eastAsia="zh-CN"/>
        </w:rPr>
      </w:pPr>
      <w:r>
        <w:rPr>
          <w:rFonts w:hint="eastAsia" w:ascii="Times New Roman" w:hAnsi="Times New Roman" w:eastAsia="宋体" w:cs="宋体"/>
          <w:bCs/>
          <w:sz w:val="24"/>
          <w:szCs w:val="24"/>
          <w:lang w:eastAsia="zh-CN"/>
        </w:rPr>
        <w:t>南通市第三人民医院电梯维护保养服务项目</w:t>
      </w:r>
    </w:p>
    <w:p>
      <w:pPr>
        <w:keepNext w:val="0"/>
        <w:keepLines w:val="0"/>
        <w:pageBreakBefore w:val="0"/>
        <w:widowControl w:val="0"/>
        <w:wordWrap/>
        <w:topLinePunct w:val="0"/>
        <w:bidi w:val="0"/>
        <w:spacing w:line="360" w:lineRule="auto"/>
        <w:ind w:firstLine="482" w:firstLineChars="200"/>
        <w:rPr>
          <w:rFonts w:hint="eastAsia" w:ascii="Times New Roman" w:hAnsi="Times New Roman" w:eastAsia="宋体" w:cs="宋体"/>
          <w:b/>
          <w:sz w:val="24"/>
          <w:szCs w:val="24"/>
          <w:lang w:val="zh-CN"/>
        </w:rPr>
      </w:pPr>
      <w:r>
        <w:rPr>
          <w:rFonts w:hint="eastAsia" w:ascii="Times New Roman" w:hAnsi="Times New Roman" w:eastAsia="宋体" w:cs="宋体"/>
          <w:b/>
          <w:sz w:val="24"/>
          <w:szCs w:val="24"/>
          <w:lang w:val="zh-CN"/>
        </w:rPr>
        <w:t>二、项目维保设备清单</w:t>
      </w:r>
    </w:p>
    <w:p>
      <w:pPr>
        <w:pStyle w:val="38"/>
        <w:keepNext w:val="0"/>
        <w:keepLines w:val="0"/>
        <w:pageBreakBefore w:val="0"/>
        <w:widowControl w:val="0"/>
        <w:numPr>
          <w:ilvl w:val="0"/>
          <w:numId w:val="0"/>
        </w:numPr>
        <w:wordWrap/>
        <w:topLinePunct w:val="0"/>
        <w:bidi w:val="0"/>
        <w:spacing w:line="360" w:lineRule="auto"/>
        <w:ind w:firstLine="480" w:firstLineChars="200"/>
        <w:rPr>
          <w:rFonts w:hint="eastAsia" w:ascii="Times New Roman" w:hAnsi="Times New Roman" w:eastAsia="宋体" w:cs="宋体"/>
          <w:bCs/>
          <w:kern w:val="2"/>
          <w:sz w:val="24"/>
          <w:szCs w:val="24"/>
          <w:lang w:val="en-US" w:eastAsia="zh-CN" w:bidi="ar-SA"/>
        </w:rPr>
      </w:pPr>
      <w:r>
        <w:rPr>
          <w:rFonts w:hint="eastAsia" w:ascii="Times New Roman" w:hAnsi="Times New Roman" w:eastAsia="宋体" w:cs="宋体"/>
          <w:bCs/>
          <w:kern w:val="2"/>
          <w:sz w:val="24"/>
          <w:szCs w:val="24"/>
          <w:lang w:val="en-US" w:eastAsia="zh-CN" w:bidi="ar-SA"/>
        </w:rPr>
        <w:t>1、垂直梯</w:t>
      </w:r>
    </w:p>
    <w:tbl>
      <w:tblPr>
        <w:tblStyle w:val="2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25"/>
        <w:gridCol w:w="962"/>
        <w:gridCol w:w="750"/>
        <w:gridCol w:w="1094"/>
        <w:gridCol w:w="1246"/>
        <w:gridCol w:w="1155"/>
        <w:gridCol w:w="1110"/>
        <w:gridCol w:w="1122"/>
        <w:gridCol w:w="1037"/>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序号</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名称</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品牌</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设备</w:t>
            </w:r>
          </w:p>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档案号</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层站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驱动方式</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控制方式</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额定速度（m/s）</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额定重量（kg）</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一</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医综楼</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1</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1#梯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T007757</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3层3站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1.5</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1800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2</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T007756</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4层4站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1.5</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1800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3</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3#梯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T007758</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2层2站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1800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4</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4#梯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T007759</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21层21站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1800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待更换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5</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5#梯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T007760</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21层21站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1800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待更换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6</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6#梯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东南</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T007763</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20层20站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1800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7</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7#梯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T007762</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20层20站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1800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8</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8#梯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T007761</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21层21站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1800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9</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9#梯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T007764</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21层21站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10</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10#梯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T007765</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20层20站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11</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11#梯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T007766</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20层19站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二</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老院区</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12</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1号楼</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大通</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T007949</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3层3站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1600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13</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4号楼（西）</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大通</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T007076</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5层5站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1600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14</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4号楼东梯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大通</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T001194</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4层4站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待更换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15</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4号楼中梯</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大通</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T001192</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5层5站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待更换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16</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5号楼</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大通</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T080840</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6层6站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17</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5号楼西</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华达</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T008284</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2层2站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杂物电梯</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按钮控制（手动门）</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0.4</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200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18</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6号楼</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西奥</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T001193</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3层3站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待更换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19</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7号楼</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艾玛斯</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T005106</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2层2站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1600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待更换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三</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新城桥社区</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525"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20</w:t>
            </w:r>
          </w:p>
        </w:tc>
        <w:tc>
          <w:tcPr>
            <w:tcW w:w="96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卫生服务中心</w:t>
            </w:r>
          </w:p>
        </w:tc>
        <w:tc>
          <w:tcPr>
            <w:tcW w:w="75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通力</w:t>
            </w:r>
          </w:p>
        </w:tc>
        <w:tc>
          <w:tcPr>
            <w:tcW w:w="109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T006643</w:t>
            </w:r>
          </w:p>
        </w:tc>
        <w:tc>
          <w:tcPr>
            <w:tcW w:w="124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6层6站</w:t>
            </w:r>
          </w:p>
        </w:tc>
        <w:tc>
          <w:tcPr>
            <w:tcW w:w="1155"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曳引驱动</w:t>
            </w:r>
          </w:p>
        </w:tc>
        <w:tc>
          <w:tcPr>
            <w:tcW w:w="111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集选控制</w:t>
            </w:r>
          </w:p>
        </w:tc>
        <w:tc>
          <w:tcPr>
            <w:tcW w:w="1122"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w:t>
            </w:r>
          </w:p>
        </w:tc>
        <w:tc>
          <w:tcPr>
            <w:tcW w:w="103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1000</w:t>
            </w:r>
          </w:p>
        </w:tc>
        <w:tc>
          <w:tcPr>
            <w:tcW w:w="841"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p>
        </w:tc>
      </w:tr>
    </w:tbl>
    <w:p>
      <w:pPr>
        <w:pStyle w:val="38"/>
        <w:keepNext w:val="0"/>
        <w:keepLines w:val="0"/>
        <w:pageBreakBefore w:val="0"/>
        <w:widowControl w:val="0"/>
        <w:numPr>
          <w:ilvl w:val="0"/>
          <w:numId w:val="0"/>
        </w:numPr>
        <w:wordWrap/>
        <w:topLinePunct w:val="0"/>
        <w:bidi w:val="0"/>
        <w:spacing w:line="360" w:lineRule="auto"/>
        <w:rPr>
          <w:rFonts w:hint="eastAsia" w:ascii="Times New Roman" w:hAnsi="Times New Roman" w:eastAsia="宋体" w:cs="宋体"/>
          <w:bCs/>
          <w:kern w:val="2"/>
          <w:sz w:val="24"/>
          <w:szCs w:val="24"/>
          <w:lang w:val="en-US" w:eastAsia="zh-CN" w:bidi="ar-SA"/>
        </w:rPr>
      </w:pPr>
      <w:r>
        <w:rPr>
          <w:rFonts w:hint="eastAsia" w:ascii="Times New Roman" w:hAnsi="Times New Roman" w:eastAsia="宋体" w:cs="宋体"/>
          <w:bCs/>
          <w:kern w:val="2"/>
          <w:sz w:val="24"/>
          <w:szCs w:val="24"/>
          <w:lang w:val="en-US" w:eastAsia="zh-CN" w:bidi="ar-SA"/>
        </w:rPr>
        <w:t>2、自动扶梯</w:t>
      </w:r>
    </w:p>
    <w:tbl>
      <w:tblPr>
        <w:tblStyle w:val="24"/>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0"/>
        <w:gridCol w:w="1038"/>
        <w:gridCol w:w="840"/>
        <w:gridCol w:w="1233"/>
        <w:gridCol w:w="1617"/>
        <w:gridCol w:w="1266"/>
        <w:gridCol w:w="178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60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序号</w:t>
            </w:r>
          </w:p>
        </w:tc>
        <w:tc>
          <w:tcPr>
            <w:tcW w:w="1038"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名称</w:t>
            </w:r>
          </w:p>
        </w:tc>
        <w:tc>
          <w:tcPr>
            <w:tcW w:w="84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品牌</w:t>
            </w:r>
          </w:p>
        </w:tc>
        <w:tc>
          <w:tcPr>
            <w:tcW w:w="1233"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设备档案号</w:t>
            </w:r>
          </w:p>
        </w:tc>
        <w:tc>
          <w:tcPr>
            <w:tcW w:w="1617"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名义速度(m/s)</w:t>
            </w:r>
          </w:p>
        </w:tc>
        <w:tc>
          <w:tcPr>
            <w:tcW w:w="1266"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倾斜角（°）</w:t>
            </w:r>
          </w:p>
        </w:tc>
        <w:tc>
          <w:tcPr>
            <w:tcW w:w="1784"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输送能力(P/h)</w:t>
            </w:r>
          </w:p>
        </w:tc>
        <w:tc>
          <w:tcPr>
            <w:tcW w:w="150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提升高度（m）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21</w:t>
            </w:r>
          </w:p>
        </w:tc>
        <w:tc>
          <w:tcPr>
            <w:tcW w:w="1038"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自动扶梯</w:t>
            </w:r>
          </w:p>
        </w:tc>
        <w:tc>
          <w:tcPr>
            <w:tcW w:w="840"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233"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T007752</w:t>
            </w:r>
          </w:p>
        </w:tc>
        <w:tc>
          <w:tcPr>
            <w:tcW w:w="1617"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0.5</w:t>
            </w:r>
          </w:p>
        </w:tc>
        <w:tc>
          <w:tcPr>
            <w:tcW w:w="1266"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30</w:t>
            </w:r>
          </w:p>
        </w:tc>
        <w:tc>
          <w:tcPr>
            <w:tcW w:w="1784"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9000</w:t>
            </w:r>
          </w:p>
        </w:tc>
        <w:tc>
          <w:tcPr>
            <w:tcW w:w="1500"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0"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22</w:t>
            </w:r>
          </w:p>
        </w:tc>
        <w:tc>
          <w:tcPr>
            <w:tcW w:w="1038"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自动扶梯</w:t>
            </w:r>
          </w:p>
        </w:tc>
        <w:tc>
          <w:tcPr>
            <w:tcW w:w="840"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233"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T007753</w:t>
            </w:r>
          </w:p>
        </w:tc>
        <w:tc>
          <w:tcPr>
            <w:tcW w:w="1617"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0.5</w:t>
            </w:r>
          </w:p>
        </w:tc>
        <w:tc>
          <w:tcPr>
            <w:tcW w:w="1266"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30</w:t>
            </w:r>
          </w:p>
        </w:tc>
        <w:tc>
          <w:tcPr>
            <w:tcW w:w="1784"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8100</w:t>
            </w:r>
          </w:p>
        </w:tc>
        <w:tc>
          <w:tcPr>
            <w:tcW w:w="1500"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0"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23</w:t>
            </w:r>
          </w:p>
        </w:tc>
        <w:tc>
          <w:tcPr>
            <w:tcW w:w="1038"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自动扶梯</w:t>
            </w:r>
          </w:p>
        </w:tc>
        <w:tc>
          <w:tcPr>
            <w:tcW w:w="840"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233"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T007754</w:t>
            </w:r>
          </w:p>
        </w:tc>
        <w:tc>
          <w:tcPr>
            <w:tcW w:w="1617"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0.5</w:t>
            </w:r>
          </w:p>
        </w:tc>
        <w:tc>
          <w:tcPr>
            <w:tcW w:w="1266"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30</w:t>
            </w:r>
          </w:p>
        </w:tc>
        <w:tc>
          <w:tcPr>
            <w:tcW w:w="1784"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9000</w:t>
            </w:r>
          </w:p>
        </w:tc>
        <w:tc>
          <w:tcPr>
            <w:tcW w:w="1500"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600"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24</w:t>
            </w:r>
          </w:p>
        </w:tc>
        <w:tc>
          <w:tcPr>
            <w:tcW w:w="1038"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自动扶梯</w:t>
            </w:r>
          </w:p>
        </w:tc>
        <w:tc>
          <w:tcPr>
            <w:tcW w:w="840"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lang w:bidi="ar"/>
              </w:rPr>
            </w:pPr>
            <w:r>
              <w:rPr>
                <w:rFonts w:hint="eastAsia" w:ascii="Times New Roman" w:hAnsi="Times New Roman" w:eastAsia="宋体" w:cs="宋体"/>
                <w:color w:val="000000"/>
                <w:sz w:val="24"/>
                <w:szCs w:val="24"/>
                <w:lang w:bidi="ar"/>
              </w:rPr>
              <w:t>三星</w:t>
            </w:r>
          </w:p>
        </w:tc>
        <w:tc>
          <w:tcPr>
            <w:tcW w:w="1233" w:type="dxa"/>
            <w:tcBorders>
              <w:tl2br w:val="nil"/>
              <w:tr2bl w:val="nil"/>
            </w:tcBorders>
            <w:vAlign w:val="center"/>
          </w:tcPr>
          <w:p>
            <w:pPr>
              <w:keepNext w:val="0"/>
              <w:keepLines w:val="0"/>
              <w:pageBreakBefore w:val="0"/>
              <w:widowControl w:val="0"/>
              <w:wordWrap/>
              <w:topLinePunct w:val="0"/>
              <w:bidi w:val="0"/>
              <w:spacing w:line="360" w:lineRule="auto"/>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bidi="ar"/>
              </w:rPr>
              <w:t>T007755</w:t>
            </w:r>
          </w:p>
        </w:tc>
        <w:tc>
          <w:tcPr>
            <w:tcW w:w="1617"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0.5</w:t>
            </w:r>
          </w:p>
        </w:tc>
        <w:tc>
          <w:tcPr>
            <w:tcW w:w="1266"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30</w:t>
            </w:r>
          </w:p>
        </w:tc>
        <w:tc>
          <w:tcPr>
            <w:tcW w:w="1784"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9000</w:t>
            </w:r>
          </w:p>
        </w:tc>
        <w:tc>
          <w:tcPr>
            <w:tcW w:w="1500" w:type="dxa"/>
            <w:tcBorders>
              <w:tl2br w:val="nil"/>
              <w:tr2bl w:val="nil"/>
            </w:tcBorders>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3.9</w:t>
            </w:r>
          </w:p>
        </w:tc>
      </w:tr>
    </w:tbl>
    <w:p>
      <w:pPr>
        <w:keepNext w:val="0"/>
        <w:keepLines w:val="0"/>
        <w:pageBreakBefore w:val="0"/>
        <w:widowControl w:val="0"/>
        <w:wordWrap/>
        <w:topLinePunct w:val="0"/>
        <w:bidi w:val="0"/>
        <w:spacing w:line="360" w:lineRule="auto"/>
        <w:rPr>
          <w:rFonts w:hint="eastAsia" w:ascii="Times New Roman" w:hAnsi="Times New Roman" w:eastAsia="宋体" w:cs="Arial"/>
          <w:b/>
          <w:bCs/>
          <w:color w:val="auto"/>
          <w:sz w:val="24"/>
          <w:szCs w:val="24"/>
        </w:rPr>
      </w:pPr>
      <w:r>
        <w:rPr>
          <w:rFonts w:hint="eastAsia" w:ascii="Times New Roman" w:hAnsi="Times New Roman" w:eastAsia="宋体" w:cs="Arial"/>
          <w:b/>
          <w:bCs/>
          <w:color w:val="auto"/>
          <w:sz w:val="24"/>
          <w:szCs w:val="24"/>
          <w:lang w:eastAsia="zh-CN"/>
        </w:rPr>
        <w:t>注：</w:t>
      </w:r>
      <w:r>
        <w:rPr>
          <w:rFonts w:hint="eastAsia" w:ascii="Times New Roman" w:hAnsi="Times New Roman" w:eastAsia="宋体" w:cs="Arial"/>
          <w:b/>
          <w:bCs/>
          <w:color w:val="auto"/>
          <w:sz w:val="24"/>
          <w:szCs w:val="24"/>
        </w:rPr>
        <w:t>更新、改造后的电梯按实际维保时间结算。</w:t>
      </w:r>
    </w:p>
    <w:p>
      <w:pPr>
        <w:keepNext w:val="0"/>
        <w:keepLines w:val="0"/>
        <w:pageBreakBefore w:val="0"/>
        <w:widowControl w:val="0"/>
        <w:wordWrap/>
        <w:topLinePunct w:val="0"/>
        <w:bidi w:val="0"/>
        <w:spacing w:line="360" w:lineRule="auto"/>
        <w:ind w:firstLine="482" w:firstLineChars="200"/>
        <w:rPr>
          <w:rFonts w:hint="eastAsia" w:ascii="Times New Roman" w:hAnsi="Times New Roman" w:eastAsia="宋体" w:cs="宋体"/>
          <w:b/>
          <w:sz w:val="24"/>
          <w:szCs w:val="24"/>
          <w:lang w:val="zh-CN"/>
        </w:rPr>
      </w:pPr>
      <w:r>
        <w:rPr>
          <w:rFonts w:hint="eastAsia" w:ascii="Times New Roman" w:hAnsi="Times New Roman" w:eastAsia="宋体" w:cs="宋体"/>
          <w:b/>
          <w:sz w:val="24"/>
          <w:szCs w:val="24"/>
          <w:lang w:val="zh-CN"/>
        </w:rPr>
        <w:t>三、项目维保服务内容</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7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b/>
                <w:color w:val="000000"/>
                <w:sz w:val="24"/>
              </w:rPr>
            </w:pPr>
            <w:r>
              <w:rPr>
                <w:rFonts w:hint="eastAsia" w:ascii="Times New Roman" w:hAnsi="Times New Roman" w:eastAsia="宋体" w:cs="宋体"/>
                <w:b/>
                <w:color w:val="000000"/>
                <w:sz w:val="24"/>
              </w:rPr>
              <w:t>类别</w:t>
            </w: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b/>
                <w:color w:val="000000"/>
                <w:sz w:val="24"/>
              </w:rPr>
            </w:pPr>
            <w:r>
              <w:rPr>
                <w:rFonts w:hint="eastAsia" w:ascii="Times New Roman" w:hAnsi="Times New Roman" w:eastAsia="宋体" w:cs="宋体"/>
                <w:b/>
                <w:color w:val="000000"/>
                <w:sz w:val="24"/>
              </w:rPr>
              <w:t>保养项目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r>
              <w:rPr>
                <w:rFonts w:hint="eastAsia" w:ascii="Times New Roman" w:hAnsi="Times New Roman" w:eastAsia="宋体" w:cs="宋体"/>
                <w:color w:val="000000"/>
                <w:sz w:val="24"/>
              </w:rPr>
              <w:t>保证项目</w:t>
            </w: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间隙标准。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对重缓冲距、轿厢缓冲距标准、对重防护栏、补偿链连接可靠、运行正常。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上下限位开关动作可靠。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安全钳间隙调整、清洁、开关动作正常。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底坑安全开关工作正常。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液压缓冲器油位标准、限位开关动作正常。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层门轿门机电联锁开关动作可靠。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轿门层门导轨清洁、润滑。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安全触板动作灵活，开关接线可靠。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光幕保护装置工作正常。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轿顶限位开关工作正常。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轿顶检修箱开关工作正常。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轿顶感应器工作正常、清洁。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限速器封记完整，开关动作正常。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制动器动作灵活，维持电压正常，间隙标准，轴销润滑良好。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极限开关动作正常。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r>
              <w:rPr>
                <w:rFonts w:hint="eastAsia" w:ascii="Times New Roman" w:hAnsi="Times New Roman" w:eastAsia="宋体" w:cs="宋体"/>
                <w:color w:val="000000"/>
                <w:sz w:val="24"/>
              </w:rPr>
              <w:t>基本项目</w:t>
            </w: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曳引机清洁、润滑良好，减速箱无渗漏油及异常声响。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各层层门及地坎、滑块清洁。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各层门锁限位动作可靠。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轿门和自动门机构清洁。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控制柜清洁、各接触器、继电器、电阻、电容工作正常，接线牢固。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操纵箱各开关按钮、信号灯、指示灯工作正常。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平层误差在规定范围内。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各层召唤、指示灯工作正常。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层站开关门灵活可靠。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底坑、轿顶及机房整洁。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轿厢、对重缓冲距标准。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限速器张紧轮距地坑地面距离标准。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r>
              <w:rPr>
                <w:rFonts w:hint="eastAsia" w:ascii="Times New Roman" w:hAnsi="Times New Roman" w:eastAsia="宋体" w:cs="宋体"/>
                <w:color w:val="000000"/>
                <w:sz w:val="24"/>
              </w:rPr>
              <w:t>每半年保</w:t>
            </w:r>
          </w:p>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r>
              <w:rPr>
                <w:rFonts w:hint="eastAsia" w:ascii="Times New Roman" w:hAnsi="Times New Roman" w:eastAsia="宋体" w:cs="宋体"/>
                <w:color w:val="000000"/>
                <w:sz w:val="24"/>
              </w:rPr>
              <w:t>养 项 目</w:t>
            </w: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电动机、曳引机检查。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主付导靴及靴衬检查。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各导轨支架联接螺栓检查。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钢丝绳张力检查调整。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轿顶轮、对重轮及导向轮检查、清洁润滑。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曳引轮绳槽及钢丝绳磨损程度检查。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r>
              <w:rPr>
                <w:rFonts w:hint="eastAsia" w:ascii="Times New Roman" w:hAnsi="Times New Roman" w:eastAsia="宋体" w:cs="宋体"/>
                <w:color w:val="000000"/>
                <w:sz w:val="24"/>
              </w:rPr>
              <w:t>每一年保</w:t>
            </w:r>
          </w:p>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r>
              <w:rPr>
                <w:rFonts w:hint="eastAsia" w:ascii="Times New Roman" w:hAnsi="Times New Roman" w:eastAsia="宋体" w:cs="宋体"/>
                <w:color w:val="000000"/>
                <w:sz w:val="24"/>
              </w:rPr>
              <w:t>养 项 目</w:t>
            </w: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电动机、曳引机换油。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制动器铁芯拆洗调整。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清洁导轨。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各安全装置动作检查调整。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jc w:val="center"/>
              <w:rPr>
                <w:rFonts w:hint="eastAsia" w:ascii="Times New Roman" w:hAnsi="Times New Roman" w:eastAsia="宋体" w:cs="宋体"/>
                <w:color w:val="000000"/>
                <w:sz w:val="24"/>
              </w:rPr>
            </w:pPr>
          </w:p>
        </w:tc>
        <w:tc>
          <w:tcPr>
            <w:tcW w:w="7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wordWrap/>
              <w:topLinePunct w:val="0"/>
              <w:bidi w:val="0"/>
              <w:spacing w:line="360" w:lineRule="auto"/>
              <w:rPr>
                <w:rFonts w:hint="eastAsia" w:ascii="Times New Roman" w:hAnsi="Times New Roman" w:eastAsia="宋体" w:cs="宋体"/>
                <w:color w:val="000000"/>
                <w:sz w:val="24"/>
              </w:rPr>
            </w:pPr>
            <w:r>
              <w:rPr>
                <w:rFonts w:hint="eastAsia" w:ascii="Times New Roman" w:hAnsi="Times New Roman" w:eastAsia="宋体" w:cs="宋体"/>
                <w:color w:val="000000"/>
                <w:sz w:val="24"/>
              </w:rPr>
              <w:t>轿厢、对重缓冲距离检查调整。</w:t>
            </w:r>
          </w:p>
        </w:tc>
      </w:tr>
    </w:tbl>
    <w:p>
      <w:pPr>
        <w:keepNext w:val="0"/>
        <w:keepLines w:val="0"/>
        <w:pageBreakBefore w:val="0"/>
        <w:widowControl w:val="0"/>
        <w:wordWrap/>
        <w:topLinePunct w:val="0"/>
        <w:bidi w:val="0"/>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四</w:t>
      </w:r>
      <w:r>
        <w:rPr>
          <w:rFonts w:hint="eastAsia" w:ascii="Times New Roman" w:hAnsi="Times New Roman" w:eastAsia="宋体" w:cs="宋体"/>
          <w:b/>
          <w:sz w:val="24"/>
          <w:szCs w:val="24"/>
        </w:rPr>
        <w:t>、服务标准</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①电梯维护保养规则TSG T5002-2017</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②电梯、自动扶梯和自动人行道维修规范GB/T18775-2009</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③电梯安装使用维护说明书</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rPr>
      </w:pPr>
      <w:r>
        <w:rPr>
          <w:rFonts w:hint="eastAsia" w:ascii="Times New Roman" w:hAnsi="Times New Roman" w:eastAsia="宋体" w:cs="宋体"/>
          <w:bCs/>
          <w:sz w:val="24"/>
          <w:szCs w:val="24"/>
        </w:rPr>
        <w:t>④维保合同</w:t>
      </w:r>
    </w:p>
    <w:p>
      <w:pPr>
        <w:keepNext w:val="0"/>
        <w:keepLines w:val="0"/>
        <w:pageBreakBefore w:val="0"/>
        <w:widowControl w:val="0"/>
        <w:wordWrap/>
        <w:topLinePunct w:val="0"/>
        <w:bidi w:val="0"/>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五</w:t>
      </w:r>
      <w:r>
        <w:rPr>
          <w:rFonts w:hint="eastAsia" w:ascii="Times New Roman" w:hAnsi="Times New Roman" w:eastAsia="宋体" w:cs="宋体"/>
          <w:b/>
          <w:sz w:val="24"/>
          <w:szCs w:val="24"/>
        </w:rPr>
        <w:t>、检验检测标准</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①电梯监督检验和定期检验规则——曳引与强制驱动电梯TSG7001-2009</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②电梯监督检验和定期检验规则——消防员电梯TSG T7002-2011</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③电梯监督检验和定期检验规则——自动扶梯与自动人行道TSG T7005-2012</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④电梯监督检验和定期检验规则——杂物电梯TSG T7006-2012</w:t>
      </w:r>
    </w:p>
    <w:p>
      <w:pPr>
        <w:keepNext w:val="0"/>
        <w:keepLines w:val="0"/>
        <w:pageBreakBefore w:val="0"/>
        <w:widowControl w:val="0"/>
        <w:wordWrap/>
        <w:topLinePunct w:val="0"/>
        <w:bidi w:val="0"/>
        <w:spacing w:line="360" w:lineRule="auto"/>
        <w:ind w:firstLine="482" w:firstLineChars="200"/>
        <w:rPr>
          <w:rFonts w:hint="eastAsia" w:ascii="Times New Roman" w:hAnsi="Times New Roman" w:eastAsia="宋体" w:cs="宋体"/>
          <w:b/>
          <w:bCs w:val="0"/>
          <w:color w:val="auto"/>
          <w:sz w:val="24"/>
          <w:szCs w:val="24"/>
        </w:rPr>
      </w:pPr>
      <w:r>
        <w:rPr>
          <w:rFonts w:hint="eastAsia" w:ascii="Times New Roman" w:hAnsi="Times New Roman" w:eastAsia="宋体" w:cs="宋体"/>
          <w:b/>
          <w:bCs w:val="0"/>
          <w:color w:val="auto"/>
          <w:sz w:val="24"/>
          <w:szCs w:val="24"/>
        </w:rPr>
        <w:t>以上特种设备安全技术规范、标准不论有无年代号，除有特别说明的以外，均以当时最新有效版本为准。</w:t>
      </w:r>
    </w:p>
    <w:p>
      <w:pPr>
        <w:keepNext w:val="0"/>
        <w:keepLines w:val="0"/>
        <w:pageBreakBefore w:val="0"/>
        <w:widowControl w:val="0"/>
        <w:wordWrap/>
        <w:topLinePunct w:val="0"/>
        <w:bidi w:val="0"/>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六</w:t>
      </w:r>
      <w:r>
        <w:rPr>
          <w:rFonts w:hint="eastAsia" w:ascii="Times New Roman" w:hAnsi="Times New Roman" w:eastAsia="宋体" w:cs="宋体"/>
          <w:b/>
          <w:sz w:val="24"/>
          <w:szCs w:val="24"/>
        </w:rPr>
        <w:t>、电梯维护保养服务的基本要求</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1、保证电梯正常、安全运行。</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2、在保证电梯安全运行的前提下满足正常维护保养的需要。</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3、在保证电梯安全运行的前提下降低电梯维护保养成本。</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4、保证采购方通过年检（检测费用由采购人承担，成交供应商承办年检手续）</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5、电梯维护保养应遵守的标准：</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①中华人民共和国特种设备安全法</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②特种设备安全监察条例</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 xml:space="preserve">③电梯维护保养规则             </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④江苏省电梯安全监察管理办法</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⑤电梯、自动扶梯和自动人行道维修规范</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⑥电梯安装使用维护说明书</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⑦维保合同</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lang w:eastAsia="zh-CN"/>
        </w:rPr>
      </w:pPr>
      <w:r>
        <w:rPr>
          <w:rFonts w:hint="eastAsia" w:ascii="Times New Roman" w:hAnsi="Times New Roman" w:eastAsia="宋体" w:cs="宋体"/>
          <w:bCs/>
          <w:sz w:val="24"/>
          <w:szCs w:val="24"/>
          <w:lang w:eastAsia="zh-CN"/>
        </w:rPr>
        <w:t>6、严格按照《电梯维护保养规则》TSG T5002-2017特种设备安全技术规范中“半月保、季度保、半年保、年度保”的时间节点要求对电梯进行检查保养，保养须符合行业安全运行标准。保养完毕后，将保养单交采购方有关部门签字认可。保养任务的完成与否，以保养单为准。</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rPr>
      </w:pPr>
      <w:r>
        <w:rPr>
          <w:rFonts w:hint="eastAsia" w:ascii="Times New Roman" w:hAnsi="Times New Roman" w:eastAsia="宋体" w:cs="宋体"/>
          <w:bCs/>
          <w:sz w:val="24"/>
          <w:szCs w:val="24"/>
        </w:rPr>
        <w:t>7、</w:t>
      </w:r>
      <w:r>
        <w:rPr>
          <w:rFonts w:hint="eastAsia" w:ascii="Times New Roman" w:hAnsi="Times New Roman" w:eastAsia="宋体" w:cs="宋体"/>
          <w:sz w:val="24"/>
          <w:szCs w:val="24"/>
          <w:lang w:eastAsia="zh-CN"/>
        </w:rPr>
        <w:t>供应商</w:t>
      </w:r>
      <w:r>
        <w:rPr>
          <w:rFonts w:hint="eastAsia" w:ascii="Times New Roman" w:hAnsi="Times New Roman" w:eastAsia="宋体" w:cs="宋体"/>
          <w:sz w:val="24"/>
          <w:szCs w:val="24"/>
        </w:rPr>
        <w:t>自行配备工作所需要的工具及设备，保养时设置现场安全警示标志。</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rPr>
      </w:pPr>
      <w:r>
        <w:rPr>
          <w:rFonts w:hint="eastAsia" w:ascii="Times New Roman" w:hAnsi="Times New Roman" w:eastAsia="宋体" w:cs="宋体"/>
          <w:bCs/>
          <w:sz w:val="24"/>
          <w:szCs w:val="24"/>
        </w:rPr>
        <w:t>8、</w:t>
      </w:r>
      <w:r>
        <w:rPr>
          <w:rFonts w:hint="eastAsia" w:ascii="Times New Roman" w:hAnsi="Times New Roman" w:eastAsia="宋体" w:cs="宋体"/>
          <w:sz w:val="24"/>
          <w:szCs w:val="24"/>
        </w:rPr>
        <w:t>根据</w:t>
      </w:r>
      <w:r>
        <w:rPr>
          <w:rFonts w:hint="eastAsia" w:ascii="Times New Roman" w:hAnsi="Times New Roman" w:eastAsia="宋体" w:cs="宋体"/>
          <w:sz w:val="24"/>
          <w:szCs w:val="24"/>
          <w:lang w:eastAsia="zh-CN"/>
        </w:rPr>
        <w:t>采购</w:t>
      </w:r>
      <w:r>
        <w:rPr>
          <w:rFonts w:hint="eastAsia" w:ascii="Times New Roman" w:hAnsi="Times New Roman" w:eastAsia="宋体" w:cs="宋体"/>
          <w:sz w:val="24"/>
          <w:szCs w:val="24"/>
        </w:rPr>
        <w:t>方实际需要提供电梯操作的系统培训</w:t>
      </w:r>
      <w:r>
        <w:rPr>
          <w:rFonts w:hint="eastAsia" w:ascii="Times New Roman" w:hAnsi="Times New Roman" w:eastAsia="宋体" w:cs="宋体"/>
          <w:bCs/>
          <w:sz w:val="24"/>
          <w:szCs w:val="24"/>
        </w:rPr>
        <w:t>。</w:t>
      </w:r>
    </w:p>
    <w:p>
      <w:pPr>
        <w:keepNext w:val="0"/>
        <w:keepLines w:val="0"/>
        <w:pageBreakBefore w:val="0"/>
        <w:widowControl w:val="0"/>
        <w:wordWrap/>
        <w:topLinePunct w:val="0"/>
        <w:bidi w:val="0"/>
        <w:spacing w:line="360" w:lineRule="auto"/>
        <w:ind w:firstLine="482" w:firstLineChars="200"/>
        <w:rPr>
          <w:rFonts w:hint="eastAsia" w:ascii="Times New Roman" w:hAnsi="Times New Roman" w:eastAsia="宋体" w:cs="宋体"/>
          <w:b/>
          <w:bCs w:val="0"/>
          <w:sz w:val="24"/>
          <w:szCs w:val="24"/>
        </w:rPr>
      </w:pPr>
      <w:r>
        <w:rPr>
          <w:rFonts w:hint="eastAsia" w:ascii="Times New Roman" w:hAnsi="Times New Roman" w:eastAsia="宋体" w:cs="宋体"/>
          <w:b/>
          <w:bCs w:val="0"/>
          <w:sz w:val="24"/>
          <w:szCs w:val="24"/>
        </w:rPr>
        <w:t>9、要求维护保养驻点服务，驻点服务的人员数量不少于</w:t>
      </w:r>
      <w:r>
        <w:rPr>
          <w:rFonts w:hint="eastAsia" w:ascii="Times New Roman" w:hAnsi="Times New Roman" w:eastAsia="宋体" w:cs="宋体"/>
          <w:b/>
          <w:bCs w:val="0"/>
          <w:sz w:val="24"/>
          <w:szCs w:val="24"/>
          <w:u w:val="single"/>
        </w:rPr>
        <w:t xml:space="preserve"> 1 </w:t>
      </w:r>
      <w:r>
        <w:rPr>
          <w:rFonts w:hint="eastAsia" w:ascii="Times New Roman" w:hAnsi="Times New Roman" w:eastAsia="宋体" w:cs="宋体"/>
          <w:b/>
          <w:bCs w:val="0"/>
          <w:sz w:val="24"/>
          <w:szCs w:val="24"/>
        </w:rPr>
        <w:t>人标准配备，并提供驻点人员的姓名、</w:t>
      </w:r>
      <w:r>
        <w:rPr>
          <w:rFonts w:hint="eastAsia" w:ascii="Times New Roman" w:hAnsi="Times New Roman" w:eastAsia="宋体" w:cs="宋体"/>
          <w:b/>
          <w:bCs w:val="0"/>
          <w:sz w:val="24"/>
          <w:szCs w:val="24"/>
          <w:lang w:eastAsia="zh-CN"/>
        </w:rPr>
        <w:t>通讯</w:t>
      </w:r>
      <w:r>
        <w:rPr>
          <w:rFonts w:hint="eastAsia" w:ascii="Times New Roman" w:hAnsi="Times New Roman" w:eastAsia="宋体" w:cs="宋体"/>
          <w:b/>
          <w:bCs w:val="0"/>
          <w:sz w:val="24"/>
          <w:szCs w:val="24"/>
        </w:rPr>
        <w:t>号码并提供他们有效的特种设备作业人员资格证书复印件。（须加盖聘用单位印章）</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rPr>
      </w:pPr>
      <w:r>
        <w:rPr>
          <w:rFonts w:hint="eastAsia" w:ascii="Times New Roman" w:hAnsi="Times New Roman" w:eastAsia="宋体" w:cs="宋体"/>
          <w:bCs/>
          <w:sz w:val="24"/>
          <w:szCs w:val="24"/>
        </w:rPr>
        <w:t>10、须提供24小时的应急响应服务，且能在接到故障或事故报警后30分钟内</w:t>
      </w:r>
      <w:r>
        <w:rPr>
          <w:rFonts w:hint="eastAsia" w:ascii="宋体" w:hAnsi="宋体" w:eastAsia="宋体" w:cs="宋体"/>
          <w:color w:val="FF0000"/>
          <w:sz w:val="24"/>
          <w:szCs w:val="24"/>
        </w:rPr>
        <w:t>（驻点服务10分钟）</w:t>
      </w:r>
      <w:r>
        <w:rPr>
          <w:rFonts w:hint="eastAsia" w:ascii="Times New Roman" w:hAnsi="Times New Roman" w:eastAsia="宋体" w:cs="宋体"/>
          <w:bCs/>
          <w:sz w:val="24"/>
          <w:szCs w:val="24"/>
        </w:rPr>
        <w:t>到达现场，并能提供正常连续的服务直至故障或事故排除。对电梯困人事故要求在到达现场后15分钟内把乘客从轿厢中救出、对非电子板原因的常见故障要求在60分钟内排除，对电子板原因的故障应在普遍认可的合理时间内解决。</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color w:val="auto"/>
          <w:sz w:val="24"/>
          <w:szCs w:val="24"/>
        </w:rPr>
      </w:pPr>
      <w:r>
        <w:rPr>
          <w:rFonts w:hint="eastAsia" w:ascii="Times New Roman" w:hAnsi="Times New Roman" w:eastAsia="宋体" w:cs="宋体"/>
          <w:bCs/>
          <w:sz w:val="24"/>
          <w:szCs w:val="24"/>
        </w:rPr>
        <w:t>11、对更换下来的电子器件应由</w:t>
      </w:r>
      <w:r>
        <w:rPr>
          <w:rFonts w:hint="eastAsia" w:ascii="Times New Roman" w:hAnsi="Times New Roman" w:eastAsia="宋体" w:cs="宋体"/>
          <w:bCs/>
          <w:sz w:val="24"/>
          <w:szCs w:val="24"/>
          <w:lang w:eastAsia="zh-CN"/>
        </w:rPr>
        <w:t>采购</w:t>
      </w:r>
      <w:r>
        <w:rPr>
          <w:rFonts w:hint="eastAsia" w:ascii="Times New Roman" w:hAnsi="Times New Roman" w:eastAsia="宋体" w:cs="宋体"/>
          <w:bCs/>
          <w:sz w:val="24"/>
          <w:szCs w:val="24"/>
        </w:rPr>
        <w:t>单位保管或由</w:t>
      </w:r>
      <w:r>
        <w:rPr>
          <w:rFonts w:hint="eastAsia" w:ascii="Times New Roman" w:hAnsi="Times New Roman" w:eastAsia="宋体" w:cs="宋体"/>
          <w:bCs/>
          <w:sz w:val="24"/>
          <w:szCs w:val="24"/>
          <w:lang w:eastAsia="zh-CN"/>
        </w:rPr>
        <w:t>采购</w:t>
      </w:r>
      <w:r>
        <w:rPr>
          <w:rFonts w:hint="eastAsia" w:ascii="Times New Roman" w:hAnsi="Times New Roman" w:eastAsia="宋体" w:cs="宋体"/>
          <w:bCs/>
          <w:sz w:val="24"/>
          <w:szCs w:val="24"/>
        </w:rPr>
        <w:t>单位与维保单位共同销毁。</w:t>
      </w:r>
      <w:r>
        <w:rPr>
          <w:rFonts w:hint="eastAsia" w:ascii="Times New Roman" w:hAnsi="Times New Roman" w:eastAsia="宋体" w:cs="宋体"/>
          <w:bCs/>
          <w:color w:val="auto"/>
          <w:sz w:val="24"/>
          <w:szCs w:val="24"/>
        </w:rPr>
        <w:t>维保单位提供工作记录仪。</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Cs/>
          <w:sz w:val="24"/>
          <w:szCs w:val="24"/>
        </w:rPr>
      </w:pPr>
      <w:r>
        <w:rPr>
          <w:rFonts w:hint="eastAsia" w:ascii="Times New Roman" w:hAnsi="Times New Roman" w:eastAsia="宋体" w:cs="宋体"/>
          <w:bCs/>
          <w:sz w:val="24"/>
          <w:szCs w:val="24"/>
        </w:rPr>
        <w:t>12、在电梯维护保养期届满时，须经法定定期检验并无因维护保养原因的不合格项目存在。</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b/>
          <w:bCs/>
          <w:sz w:val="24"/>
          <w:szCs w:val="24"/>
        </w:rPr>
      </w:pPr>
      <w:r>
        <w:rPr>
          <w:rFonts w:hint="eastAsia" w:ascii="Times New Roman" w:hAnsi="Times New Roman" w:eastAsia="宋体" w:cs="宋体"/>
          <w:bCs/>
          <w:sz w:val="24"/>
          <w:szCs w:val="24"/>
        </w:rPr>
        <w:t>13、</w:t>
      </w:r>
      <w:r>
        <w:rPr>
          <w:rFonts w:hint="eastAsia" w:ascii="Times New Roman" w:hAnsi="Times New Roman" w:eastAsia="宋体" w:cs="宋体"/>
          <w:b/>
          <w:bCs/>
          <w:sz w:val="24"/>
          <w:szCs w:val="24"/>
          <w:lang w:eastAsia="zh-CN"/>
        </w:rPr>
        <w:t>供应商</w:t>
      </w:r>
      <w:r>
        <w:rPr>
          <w:rFonts w:hint="eastAsia" w:ascii="Times New Roman" w:hAnsi="Times New Roman" w:eastAsia="宋体" w:cs="宋体"/>
          <w:b/>
          <w:bCs/>
          <w:sz w:val="24"/>
          <w:szCs w:val="24"/>
        </w:rPr>
        <w:t>免费提供保养所需的润滑油、润滑脂和清洁材料，需要更换的两百元（每台）以内的零配件免费提供。</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14、若发生下列情况之一的，则在结算时按每次扣除承包费用的10%：</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（1）未完成保养任务；</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（2）电梯发生故障，</w:t>
      </w:r>
      <w:r>
        <w:rPr>
          <w:rFonts w:hint="eastAsia" w:ascii="Times New Roman" w:hAnsi="Times New Roman" w:eastAsia="宋体" w:cs="宋体"/>
          <w:sz w:val="24"/>
          <w:szCs w:val="24"/>
          <w:lang w:eastAsia="zh-CN"/>
        </w:rPr>
        <w:t>采购</w:t>
      </w:r>
      <w:r>
        <w:rPr>
          <w:rFonts w:hint="eastAsia" w:ascii="Times New Roman" w:hAnsi="Times New Roman" w:eastAsia="宋体" w:cs="宋体"/>
          <w:sz w:val="24"/>
          <w:szCs w:val="24"/>
        </w:rPr>
        <w:t>方通知</w:t>
      </w:r>
      <w:r>
        <w:rPr>
          <w:rFonts w:hint="eastAsia" w:ascii="Times New Roman" w:hAnsi="Times New Roman" w:eastAsia="宋体" w:cs="宋体"/>
          <w:sz w:val="24"/>
          <w:szCs w:val="24"/>
          <w:lang w:eastAsia="zh-CN"/>
        </w:rPr>
        <w:t>成交供应商</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成交供应商</w:t>
      </w:r>
      <w:r>
        <w:rPr>
          <w:rFonts w:hint="eastAsia" w:ascii="Times New Roman" w:hAnsi="Times New Roman" w:eastAsia="宋体" w:cs="宋体"/>
          <w:sz w:val="24"/>
          <w:szCs w:val="24"/>
        </w:rPr>
        <w:t>在2小时内没有来人解决问题；</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（3）电梯非正常运行或因故障连续停止运行一天以上（特殊情况除外）。</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15、</w:t>
      </w:r>
      <w:r>
        <w:rPr>
          <w:rFonts w:hint="eastAsia" w:ascii="Times New Roman" w:hAnsi="Times New Roman" w:eastAsia="宋体" w:cs="宋体"/>
          <w:sz w:val="24"/>
          <w:szCs w:val="24"/>
          <w:lang w:eastAsia="zh-CN"/>
        </w:rPr>
        <w:t>采购</w:t>
      </w:r>
      <w:r>
        <w:rPr>
          <w:rFonts w:hint="eastAsia" w:ascii="Times New Roman" w:hAnsi="Times New Roman" w:eastAsia="宋体" w:cs="宋体"/>
          <w:sz w:val="24"/>
          <w:szCs w:val="24"/>
        </w:rPr>
        <w:t>方有重大活动时，</w:t>
      </w:r>
      <w:r>
        <w:rPr>
          <w:rFonts w:hint="eastAsia" w:ascii="Times New Roman" w:hAnsi="Times New Roman" w:eastAsia="宋体" w:cs="宋体"/>
          <w:sz w:val="24"/>
          <w:szCs w:val="24"/>
          <w:lang w:eastAsia="zh-CN"/>
        </w:rPr>
        <w:t>供应商</w:t>
      </w:r>
      <w:r>
        <w:rPr>
          <w:rFonts w:hint="eastAsia" w:ascii="Times New Roman" w:hAnsi="Times New Roman" w:eastAsia="宋体" w:cs="宋体"/>
          <w:sz w:val="24"/>
          <w:szCs w:val="24"/>
        </w:rPr>
        <w:t>需派专门的维修技术人员到达现场，免费提供全程监护服务。</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16、</w:t>
      </w:r>
      <w:r>
        <w:rPr>
          <w:rFonts w:hint="eastAsia" w:ascii="Times New Roman" w:hAnsi="Times New Roman" w:eastAsia="宋体" w:cs="宋体"/>
          <w:sz w:val="24"/>
          <w:szCs w:val="24"/>
          <w:lang w:eastAsia="zh-CN"/>
        </w:rPr>
        <w:t>供应商</w:t>
      </w:r>
      <w:r>
        <w:rPr>
          <w:rFonts w:hint="eastAsia" w:ascii="Times New Roman" w:hAnsi="Times New Roman" w:eastAsia="宋体" w:cs="宋体"/>
          <w:sz w:val="24"/>
          <w:szCs w:val="24"/>
        </w:rPr>
        <w:t>承担所维保电梯因维保不当发生的事故责任。</w:t>
      </w:r>
    </w:p>
    <w:p>
      <w:pPr>
        <w:keepNext w:val="0"/>
        <w:keepLines w:val="0"/>
        <w:pageBreakBefore w:val="0"/>
        <w:widowControl w:val="0"/>
        <w:wordWrap/>
        <w:topLinePunct w:val="0"/>
        <w:bidi w:val="0"/>
        <w:spacing w:line="360" w:lineRule="auto"/>
        <w:ind w:firstLine="482" w:firstLineChars="200"/>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七</w:t>
      </w:r>
      <w:r>
        <w:rPr>
          <w:rFonts w:hint="eastAsia" w:ascii="Times New Roman" w:hAnsi="Times New Roman" w:eastAsia="宋体" w:cs="宋体"/>
          <w:b/>
          <w:sz w:val="24"/>
          <w:szCs w:val="24"/>
        </w:rPr>
        <w:t>、其它要求：</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人在维保期间如需更换人员必须书面告知</w:t>
      </w:r>
      <w:r>
        <w:rPr>
          <w:rFonts w:hint="eastAsia" w:ascii="Times New Roman" w:hAnsi="Times New Roman" w:eastAsia="宋体" w:cs="宋体"/>
          <w:sz w:val="24"/>
          <w:szCs w:val="24"/>
          <w:lang w:eastAsia="zh-CN"/>
        </w:rPr>
        <w:t>采购</w:t>
      </w:r>
      <w:r>
        <w:rPr>
          <w:rFonts w:hint="eastAsia" w:ascii="Times New Roman" w:hAnsi="Times New Roman" w:eastAsia="宋体" w:cs="宋体"/>
          <w:sz w:val="24"/>
          <w:szCs w:val="24"/>
        </w:rPr>
        <w:t>人，同时附更换人员相关证件。</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2、</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人须保证电梯正常运转的同时，并取得国家相关职能部门年检合格证，如因维保原因未能取得年检合格证而引起一切费用和责任由</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人承担。</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3、为确保电梯能安全正常运行，</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人保养人员可根据电梯使用情况，提出电梯大修或改造意见，大修或改造根据</w:t>
      </w:r>
      <w:r>
        <w:rPr>
          <w:rFonts w:hint="eastAsia" w:ascii="Times New Roman" w:hAnsi="Times New Roman" w:eastAsia="宋体" w:cs="宋体"/>
          <w:sz w:val="24"/>
          <w:szCs w:val="24"/>
          <w:lang w:eastAsia="zh-CN"/>
        </w:rPr>
        <w:t>成交</w:t>
      </w:r>
      <w:r>
        <w:rPr>
          <w:rFonts w:hint="eastAsia" w:ascii="Times New Roman" w:hAnsi="Times New Roman" w:eastAsia="宋体" w:cs="宋体"/>
          <w:sz w:val="24"/>
          <w:szCs w:val="24"/>
        </w:rPr>
        <w:t>人是否取得生产厂家授权许可而定，费用由</w:t>
      </w:r>
      <w:r>
        <w:rPr>
          <w:rFonts w:hint="eastAsia" w:ascii="Times New Roman" w:hAnsi="Times New Roman" w:eastAsia="宋体" w:cs="宋体"/>
          <w:sz w:val="24"/>
          <w:szCs w:val="24"/>
          <w:lang w:eastAsia="zh-CN"/>
        </w:rPr>
        <w:t>采购人</w:t>
      </w:r>
      <w:r>
        <w:rPr>
          <w:rFonts w:hint="eastAsia" w:ascii="Times New Roman" w:hAnsi="Times New Roman" w:eastAsia="宋体" w:cs="宋体"/>
          <w:sz w:val="24"/>
          <w:szCs w:val="24"/>
        </w:rPr>
        <w:t>根据有关规定确定。</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4、</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人承诺，电梯维保一般安排在夜间电梯使用频率低的时段进行，</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单位技术负责人或督查人员应经常抽查维保工作人员的维保质量，并做好抽查记录。</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5、</w:t>
      </w:r>
      <w:r>
        <w:rPr>
          <w:rFonts w:hint="eastAsia" w:ascii="Times New Roman" w:hAnsi="Times New Roman" w:eastAsia="宋体" w:cs="宋体"/>
          <w:sz w:val="24"/>
          <w:szCs w:val="24"/>
          <w:lang w:eastAsia="zh-CN"/>
        </w:rPr>
        <w:t>采购</w:t>
      </w:r>
      <w:r>
        <w:rPr>
          <w:rFonts w:hint="eastAsia" w:ascii="Times New Roman" w:hAnsi="Times New Roman" w:eastAsia="宋体" w:cs="宋体"/>
          <w:sz w:val="24"/>
          <w:szCs w:val="24"/>
        </w:rPr>
        <w:t>人负责电梯管理人员随维保人员一起进行维保，维保人员应积极做好配合工作。</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人应将常规维修配件≥10个品种进行报价，并注明规格型号、品牌、产地。</w:t>
      </w:r>
    </w:p>
    <w:p>
      <w:pPr>
        <w:keepNext w:val="0"/>
        <w:keepLines w:val="0"/>
        <w:pageBreakBefore w:val="0"/>
        <w:widowControl w:val="0"/>
        <w:wordWrap/>
        <w:topLinePunct w:val="0"/>
        <w:bidi w:val="0"/>
        <w:spacing w:line="360" w:lineRule="auto"/>
        <w:ind w:firstLine="482" w:firstLineChars="200"/>
        <w:rPr>
          <w:rFonts w:hint="eastAsia" w:ascii="Times New Roman" w:hAnsi="Times New Roman" w:eastAsia="宋体" w:cs="宋体"/>
          <w:b/>
          <w:sz w:val="24"/>
          <w:szCs w:val="24"/>
          <w:lang w:eastAsia="zh-CN"/>
        </w:rPr>
      </w:pPr>
      <w:r>
        <w:rPr>
          <w:rFonts w:hint="eastAsia" w:ascii="Times New Roman" w:hAnsi="Times New Roman" w:eastAsia="宋体" w:cs="宋体"/>
          <w:b/>
          <w:sz w:val="24"/>
          <w:szCs w:val="24"/>
          <w:lang w:eastAsia="zh-CN"/>
        </w:rPr>
        <w:t>八、服务期限</w:t>
      </w:r>
    </w:p>
    <w:p>
      <w:pPr>
        <w:keepNext w:val="0"/>
        <w:keepLines w:val="0"/>
        <w:pageBreakBefore w:val="0"/>
        <w:widowControl w:val="0"/>
        <w:wordWrap/>
        <w:topLinePunct w:val="0"/>
        <w:bidi w:val="0"/>
        <w:spacing w:line="360" w:lineRule="auto"/>
        <w:ind w:firstLine="480" w:firstLineChars="200"/>
        <w:rPr>
          <w:rFonts w:hint="eastAsia" w:ascii="Times New Roman" w:hAnsi="Times New Roman" w:eastAsia="宋体" w:cs="宋体"/>
          <w:sz w:val="24"/>
          <w:szCs w:val="24"/>
          <w:highlight w:val="none"/>
          <w:lang w:val="zh-CN"/>
        </w:rPr>
      </w:pPr>
      <w:r>
        <w:rPr>
          <w:rFonts w:hint="eastAsia" w:ascii="Times New Roman" w:hAnsi="Times New Roman" w:eastAsia="宋体" w:cs="宋体"/>
          <w:sz w:val="24"/>
          <w:szCs w:val="24"/>
          <w:highlight w:val="none"/>
        </w:rPr>
        <w:t>一年。每年经考核合格后可续签一年，最多可续两年。</w:t>
      </w:r>
    </w:p>
    <w:p>
      <w:pPr>
        <w:keepNext w:val="0"/>
        <w:keepLines w:val="0"/>
        <w:pageBreakBefore w:val="0"/>
        <w:widowControl w:val="0"/>
        <w:numPr>
          <w:ilvl w:val="0"/>
          <w:numId w:val="1"/>
        </w:numPr>
        <w:wordWrap/>
        <w:topLinePunct w:val="0"/>
        <w:bidi w:val="0"/>
        <w:spacing w:line="360" w:lineRule="auto"/>
        <w:ind w:firstLine="482" w:firstLineChars="200"/>
        <w:rPr>
          <w:rFonts w:hint="eastAsia" w:ascii="Times New Roman" w:hAnsi="Times New Roman" w:eastAsia="宋体" w:cs="宋体"/>
          <w:b/>
          <w:sz w:val="24"/>
          <w:szCs w:val="24"/>
          <w:lang w:eastAsia="zh-CN"/>
        </w:rPr>
      </w:pPr>
      <w:r>
        <w:rPr>
          <w:rFonts w:hint="eastAsia" w:ascii="Times New Roman" w:hAnsi="Times New Roman" w:eastAsia="宋体" w:cs="宋体"/>
          <w:b/>
          <w:sz w:val="24"/>
          <w:szCs w:val="24"/>
          <w:lang w:eastAsia="zh-CN"/>
        </w:rPr>
        <w:t>付款方式</w:t>
      </w:r>
    </w:p>
    <w:p>
      <w:pPr>
        <w:keepNext w:val="0"/>
        <w:keepLines w:val="0"/>
        <w:pageBreakBefore w:val="0"/>
        <w:widowControl w:val="0"/>
        <w:numPr>
          <w:ilvl w:val="0"/>
          <w:numId w:val="2"/>
        </w:numPr>
        <w:wordWrap/>
        <w:topLinePunct w:val="0"/>
        <w:bidi w:val="0"/>
        <w:spacing w:line="360" w:lineRule="auto"/>
        <w:ind w:firstLine="480" w:firstLineChars="200"/>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最终结算以实际维保时间计算。</w:t>
      </w:r>
      <w:r>
        <w:rPr>
          <w:rFonts w:hint="eastAsia" w:ascii="Times New Roman" w:hAnsi="Times New Roman" w:eastAsia="宋体" w:cs="宋体"/>
          <w:sz w:val="24"/>
          <w:szCs w:val="24"/>
        </w:rPr>
        <w:t>合同到期（特种设备检验机构定期检验合格）后扣除保养期</w:t>
      </w:r>
      <w:r>
        <w:rPr>
          <w:rFonts w:hint="eastAsia" w:ascii="Times New Roman" w:hAnsi="Times New Roman" w:eastAsia="宋体" w:cs="宋体"/>
          <w:sz w:val="24"/>
          <w:szCs w:val="24"/>
          <w:lang w:val="en-US" w:eastAsia="zh-CN"/>
        </w:rPr>
        <w:t>内违约处罚款项,10个工作日内付清。</w:t>
      </w:r>
    </w:p>
    <w:p>
      <w:pPr>
        <w:keepNext w:val="0"/>
        <w:keepLines w:val="0"/>
        <w:pageBreakBefore w:val="0"/>
        <w:widowControl w:val="0"/>
        <w:numPr>
          <w:ilvl w:val="0"/>
          <w:numId w:val="2"/>
        </w:numPr>
        <w:wordWrap/>
        <w:topLinePunct w:val="0"/>
        <w:bidi w:val="0"/>
        <w:spacing w:line="360" w:lineRule="auto"/>
        <w:ind w:firstLine="480" w:firstLineChars="200"/>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不包括在维护保养费用总额内的费用实时结付。</w:t>
      </w:r>
    </w:p>
    <w:p>
      <w:pPr>
        <w:keepNext w:val="0"/>
        <w:keepLines w:val="0"/>
        <w:pageBreakBefore w:val="0"/>
        <w:widowControl w:val="0"/>
        <w:numPr>
          <w:ilvl w:val="0"/>
          <w:numId w:val="2"/>
        </w:numPr>
        <w:wordWrap/>
        <w:topLinePunct w:val="0"/>
        <w:bidi w:val="0"/>
        <w:spacing w:line="360" w:lineRule="auto"/>
        <w:ind w:firstLine="480" w:firstLineChars="200"/>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履约保证金在服务期结束后不计息退还。</w:t>
      </w:r>
    </w:p>
    <w:p>
      <w:pPr>
        <w:keepNext w:val="0"/>
        <w:keepLines w:val="0"/>
        <w:pageBreakBefore w:val="0"/>
        <w:widowControl w:val="0"/>
        <w:wordWrap/>
        <w:topLinePunct w:val="0"/>
        <w:bidi w:val="0"/>
        <w:spacing w:line="360" w:lineRule="auto"/>
        <w:rPr>
          <w:rFonts w:hint="eastAsia" w:ascii="Times New Roman" w:hAnsi="Times New Roman" w:eastAsia="宋体"/>
          <w:lang w:val="zh-CN"/>
        </w:rPr>
      </w:pPr>
      <w:r>
        <w:rPr>
          <w:rFonts w:hint="eastAsia" w:ascii="Times New Roman" w:hAnsi="Times New Roman" w:eastAsia="宋体"/>
          <w:lang w:val="zh-CN"/>
        </w:rPr>
        <w:br w:type="page"/>
      </w:r>
    </w:p>
    <w:p>
      <w:pPr>
        <w:pStyle w:val="20"/>
        <w:keepNext w:val="0"/>
        <w:keepLines w:val="0"/>
        <w:pageBreakBefore w:val="0"/>
        <w:widowControl w:val="0"/>
        <w:wordWrap/>
        <w:topLinePunct w:val="0"/>
        <w:bidi w:val="0"/>
        <w:spacing w:line="360" w:lineRule="auto"/>
        <w:ind w:left="0" w:leftChars="0" w:firstLine="0" w:firstLineChars="0"/>
        <w:jc w:val="both"/>
        <w:rPr>
          <w:rFonts w:ascii="Times New Roman" w:hAnsi="Times New Roman" w:eastAsia="宋体"/>
          <w:sz w:val="24"/>
          <w:szCs w:val="24"/>
        </w:rPr>
      </w:pPr>
      <w:r>
        <w:rPr>
          <w:rFonts w:hint="eastAsia" w:ascii="Times New Roman" w:hAnsi="Times New Roman" w:eastAsia="宋体" w:cs="宋体"/>
          <w:sz w:val="24"/>
          <w:szCs w:val="24"/>
          <w:lang w:eastAsia="zh-CN"/>
        </w:rPr>
        <w:t>附件：</w:t>
      </w:r>
      <w:r>
        <w:rPr>
          <w:rFonts w:ascii="Times New Roman" w:hAnsi="Times New Roman" w:eastAsia="宋体" w:cs="宋体"/>
          <w:sz w:val="24"/>
          <w:szCs w:val="24"/>
        </w:rPr>
        <w:t>电梯维保考核细则</w:t>
      </w:r>
    </w:p>
    <w:tbl>
      <w:tblPr>
        <w:tblStyle w:val="24"/>
        <w:tblW w:w="9045" w:type="dxa"/>
        <w:jc w:val="center"/>
        <w:tblLayout w:type="autofit"/>
        <w:tblCellMar>
          <w:top w:w="0" w:type="dxa"/>
          <w:left w:w="108" w:type="dxa"/>
          <w:bottom w:w="0" w:type="dxa"/>
          <w:right w:w="108" w:type="dxa"/>
        </w:tblCellMar>
      </w:tblPr>
      <w:tblGrid>
        <w:gridCol w:w="950"/>
        <w:gridCol w:w="883"/>
        <w:gridCol w:w="4325"/>
        <w:gridCol w:w="765"/>
        <w:gridCol w:w="832"/>
        <w:gridCol w:w="1290"/>
      </w:tblGrid>
      <w:tr>
        <w:tblPrEx>
          <w:tblCellMar>
            <w:top w:w="0" w:type="dxa"/>
            <w:left w:w="108" w:type="dxa"/>
            <w:bottom w:w="0" w:type="dxa"/>
            <w:right w:w="108" w:type="dxa"/>
          </w:tblCellMar>
        </w:tblPrEx>
        <w:trPr>
          <w:trHeight w:val="395" w:hRule="atLeast"/>
          <w:jc w:val="center"/>
        </w:trPr>
        <w:tc>
          <w:tcPr>
            <w:tcW w:w="9045" w:type="dxa"/>
            <w:gridSpan w:val="6"/>
            <w:tcBorders>
              <w:top w:val="nil"/>
              <w:left w:val="nil"/>
              <w:bottom w:val="single" w:color="auto" w:sz="4" w:space="0"/>
              <w:right w:val="nil"/>
            </w:tcBorders>
            <w:noWrap w:val="0"/>
            <w:vAlign w:val="center"/>
          </w:tcPr>
          <w:p>
            <w:pPr>
              <w:widowControl/>
              <w:jc w:val="center"/>
              <w:rPr>
                <w:rFonts w:hint="eastAsia" w:ascii="宋体" w:hAnsi="宋体" w:cs="宋体"/>
                <w:sz w:val="24"/>
              </w:rPr>
            </w:pPr>
            <w:r>
              <w:rPr>
                <w:rFonts w:hint="eastAsia" w:ascii="宋体" w:hAnsi="宋体" w:cs="宋体"/>
                <w:b/>
                <w:sz w:val="24"/>
              </w:rPr>
              <w:t xml:space="preserve">                                             </w:t>
            </w:r>
            <w:r>
              <w:rPr>
                <w:rFonts w:hint="eastAsia" w:ascii="宋体" w:hAnsi="宋体" w:cs="宋体"/>
                <w:sz w:val="24"/>
              </w:rPr>
              <w:t xml:space="preserve"> 检查时间：    年    月</w:t>
            </w:r>
          </w:p>
        </w:tc>
      </w:tr>
      <w:tr>
        <w:tblPrEx>
          <w:tblCellMar>
            <w:top w:w="0" w:type="dxa"/>
            <w:left w:w="108" w:type="dxa"/>
            <w:bottom w:w="0" w:type="dxa"/>
            <w:right w:w="108" w:type="dxa"/>
          </w:tblCellMar>
        </w:tblPrEx>
        <w:trPr>
          <w:trHeight w:val="395" w:hRule="atLeast"/>
          <w:jc w:val="center"/>
        </w:trPr>
        <w:tc>
          <w:tcPr>
            <w:tcW w:w="95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项目</w:t>
            </w:r>
          </w:p>
        </w:tc>
        <w:tc>
          <w:tcPr>
            <w:tcW w:w="88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总分</w:t>
            </w:r>
          </w:p>
        </w:tc>
        <w:tc>
          <w:tcPr>
            <w:tcW w:w="432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内  容</w:t>
            </w:r>
          </w:p>
        </w:tc>
        <w:tc>
          <w:tcPr>
            <w:tcW w:w="76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分值</w:t>
            </w:r>
          </w:p>
        </w:tc>
        <w:tc>
          <w:tcPr>
            <w:tcW w:w="8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扣分</w:t>
            </w:r>
          </w:p>
        </w:tc>
        <w:tc>
          <w:tcPr>
            <w:tcW w:w="129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扣分原因</w:t>
            </w:r>
          </w:p>
        </w:tc>
      </w:tr>
      <w:tr>
        <w:tblPrEx>
          <w:tblCellMar>
            <w:top w:w="0" w:type="dxa"/>
            <w:left w:w="108" w:type="dxa"/>
            <w:bottom w:w="0" w:type="dxa"/>
            <w:right w:w="108" w:type="dxa"/>
          </w:tblCellMar>
        </w:tblPrEx>
        <w:trPr>
          <w:trHeight w:val="324" w:hRule="atLeast"/>
          <w:jc w:val="center"/>
        </w:trPr>
        <w:tc>
          <w:tcPr>
            <w:tcW w:w="950"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宋体" w:hAnsi="宋体" w:cs="宋体"/>
                <w:sz w:val="24"/>
              </w:rPr>
            </w:pPr>
          </w:p>
        </w:tc>
        <w:tc>
          <w:tcPr>
            <w:tcW w:w="883"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100分</w:t>
            </w:r>
          </w:p>
        </w:tc>
        <w:tc>
          <w:tcPr>
            <w:tcW w:w="4325"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765"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832"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1290"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宋体" w:hAnsi="宋体" w:cs="宋体"/>
                <w:sz w:val="24"/>
              </w:rPr>
            </w:pPr>
          </w:p>
        </w:tc>
      </w:tr>
      <w:tr>
        <w:tblPrEx>
          <w:tblCellMar>
            <w:top w:w="0" w:type="dxa"/>
            <w:left w:w="108" w:type="dxa"/>
            <w:bottom w:w="0" w:type="dxa"/>
            <w:right w:w="108" w:type="dxa"/>
          </w:tblCellMar>
        </w:tblPrEx>
        <w:trPr>
          <w:trHeight w:val="556" w:hRule="atLeast"/>
          <w:jc w:val="center"/>
        </w:trPr>
        <w:tc>
          <w:tcPr>
            <w:tcW w:w="95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工作制度</w:t>
            </w:r>
          </w:p>
        </w:tc>
        <w:tc>
          <w:tcPr>
            <w:tcW w:w="88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75分</w:t>
            </w:r>
          </w:p>
        </w:tc>
        <w:tc>
          <w:tcPr>
            <w:tcW w:w="4325"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1、安全警示标识齐全、使用规范。</w:t>
            </w:r>
          </w:p>
        </w:tc>
        <w:tc>
          <w:tcPr>
            <w:tcW w:w="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5分</w:t>
            </w:r>
          </w:p>
        </w:tc>
        <w:tc>
          <w:tcPr>
            <w:tcW w:w="83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　</w:t>
            </w:r>
          </w:p>
        </w:tc>
        <w:tc>
          <w:tcPr>
            <w:tcW w:w="129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556" w:hRule="atLeast"/>
          <w:jc w:val="center"/>
        </w:trPr>
        <w:tc>
          <w:tcPr>
            <w:tcW w:w="950"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4325"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2、有完善的规章制度及岗位职责。遵守医院各项规章制度。</w:t>
            </w:r>
          </w:p>
        </w:tc>
        <w:tc>
          <w:tcPr>
            <w:tcW w:w="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10分</w:t>
            </w:r>
          </w:p>
        </w:tc>
        <w:tc>
          <w:tcPr>
            <w:tcW w:w="832"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c>
          <w:tcPr>
            <w:tcW w:w="1290"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556" w:hRule="atLeast"/>
          <w:jc w:val="center"/>
        </w:trPr>
        <w:tc>
          <w:tcPr>
            <w:tcW w:w="950"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4325"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3、熟悉医院突发事件的应急预案，知晓处理流程。</w:t>
            </w:r>
          </w:p>
        </w:tc>
        <w:tc>
          <w:tcPr>
            <w:tcW w:w="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10分</w:t>
            </w:r>
          </w:p>
        </w:tc>
        <w:tc>
          <w:tcPr>
            <w:tcW w:w="832"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c>
          <w:tcPr>
            <w:tcW w:w="1290"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556" w:hRule="atLeast"/>
          <w:jc w:val="center"/>
        </w:trPr>
        <w:tc>
          <w:tcPr>
            <w:tcW w:w="950"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4325"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4、有特种设备电梯操作证，职责明确，统一着装，持证上岗。</w:t>
            </w:r>
          </w:p>
        </w:tc>
        <w:tc>
          <w:tcPr>
            <w:tcW w:w="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10分</w:t>
            </w:r>
          </w:p>
        </w:tc>
        <w:tc>
          <w:tcPr>
            <w:tcW w:w="832"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c>
          <w:tcPr>
            <w:tcW w:w="1290"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556" w:hRule="atLeast"/>
          <w:jc w:val="center"/>
        </w:trPr>
        <w:tc>
          <w:tcPr>
            <w:tcW w:w="950"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4325"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5、每部电梯维保每15天维修保养1次,记录齐全。</w:t>
            </w:r>
          </w:p>
        </w:tc>
        <w:tc>
          <w:tcPr>
            <w:tcW w:w="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10分</w:t>
            </w:r>
          </w:p>
        </w:tc>
        <w:tc>
          <w:tcPr>
            <w:tcW w:w="832"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c>
          <w:tcPr>
            <w:tcW w:w="1290"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556" w:hRule="atLeast"/>
          <w:jc w:val="center"/>
        </w:trPr>
        <w:tc>
          <w:tcPr>
            <w:tcW w:w="950"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4325"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6、知晓电梯困人、底坑进水等应急预案及应急处理相关操作。</w:t>
            </w:r>
          </w:p>
        </w:tc>
        <w:tc>
          <w:tcPr>
            <w:tcW w:w="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10分</w:t>
            </w:r>
          </w:p>
        </w:tc>
        <w:tc>
          <w:tcPr>
            <w:tcW w:w="832"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c>
          <w:tcPr>
            <w:tcW w:w="1290"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556" w:hRule="atLeast"/>
          <w:jc w:val="center"/>
        </w:trPr>
        <w:tc>
          <w:tcPr>
            <w:tcW w:w="950"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4325" w:type="dxa"/>
            <w:tcBorders>
              <w:top w:val="nil"/>
              <w:left w:val="nil"/>
              <w:bottom w:val="single" w:color="auto" w:sz="4" w:space="0"/>
              <w:right w:val="single" w:color="auto" w:sz="4" w:space="0"/>
            </w:tcBorders>
            <w:noWrap w:val="0"/>
            <w:vAlign w:val="center"/>
          </w:tcPr>
          <w:p>
            <w:pPr>
              <w:widowControl/>
              <w:rPr>
                <w:rFonts w:hint="eastAsia" w:ascii="宋体" w:hAnsi="宋体" w:cs="宋体"/>
                <w:color w:val="000000"/>
                <w:sz w:val="24"/>
              </w:rPr>
            </w:pPr>
            <w:r>
              <w:rPr>
                <w:rFonts w:hint="eastAsia" w:ascii="宋体" w:hAnsi="宋体" w:cs="宋体"/>
                <w:color w:val="000000"/>
                <w:sz w:val="24"/>
              </w:rPr>
              <w:t>8、熟悉故障处理流程，对于突发事故，20分钟内要到达现场，及时处理。</w:t>
            </w:r>
          </w:p>
        </w:tc>
        <w:tc>
          <w:tcPr>
            <w:tcW w:w="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10分</w:t>
            </w:r>
          </w:p>
        </w:tc>
        <w:tc>
          <w:tcPr>
            <w:tcW w:w="832"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c>
          <w:tcPr>
            <w:tcW w:w="1290"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556" w:hRule="atLeast"/>
          <w:jc w:val="center"/>
        </w:trPr>
        <w:tc>
          <w:tcPr>
            <w:tcW w:w="950" w:type="dxa"/>
            <w:vMerge w:val="continue"/>
            <w:tcBorders>
              <w:top w:val="nil"/>
              <w:left w:val="single" w:color="auto" w:sz="4" w:space="0"/>
              <w:bottom w:val="single" w:color="000000" w:sz="4" w:space="0"/>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4325"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9、消防安全设施配置齐全，知晓消防安全设施的位置及使用方法，定期检查灭火器。</w:t>
            </w:r>
          </w:p>
        </w:tc>
        <w:tc>
          <w:tcPr>
            <w:tcW w:w="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10分</w:t>
            </w:r>
          </w:p>
        </w:tc>
        <w:tc>
          <w:tcPr>
            <w:tcW w:w="832"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c>
          <w:tcPr>
            <w:tcW w:w="1290"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556" w:hRule="atLeast"/>
          <w:jc w:val="center"/>
        </w:trPr>
        <w:tc>
          <w:tcPr>
            <w:tcW w:w="950" w:type="dxa"/>
            <w:vMerge w:val="restart"/>
            <w:tcBorders>
              <w:top w:val="nil"/>
              <w:left w:val="single" w:color="auto" w:sz="4" w:space="0"/>
              <w:bottom w:val="nil"/>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设备维护</w:t>
            </w:r>
          </w:p>
        </w:tc>
        <w:tc>
          <w:tcPr>
            <w:tcW w:w="88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15分</w:t>
            </w:r>
          </w:p>
        </w:tc>
        <w:tc>
          <w:tcPr>
            <w:tcW w:w="4325"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1、对电梯各设备定期检查、定期维护保养，台账清晰。</w:t>
            </w:r>
          </w:p>
        </w:tc>
        <w:tc>
          <w:tcPr>
            <w:tcW w:w="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10分</w:t>
            </w:r>
          </w:p>
        </w:tc>
        <w:tc>
          <w:tcPr>
            <w:tcW w:w="832"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c>
          <w:tcPr>
            <w:tcW w:w="1290"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556" w:hRule="atLeast"/>
          <w:jc w:val="center"/>
        </w:trPr>
        <w:tc>
          <w:tcPr>
            <w:tcW w:w="950" w:type="dxa"/>
            <w:vMerge w:val="continue"/>
            <w:tcBorders>
              <w:top w:val="nil"/>
              <w:left w:val="single" w:color="auto" w:sz="4" w:space="0"/>
              <w:bottom w:val="nil"/>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4325"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2、各类设备间干净、整洁，无杂物，符合规范要求。</w:t>
            </w:r>
          </w:p>
        </w:tc>
        <w:tc>
          <w:tcPr>
            <w:tcW w:w="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5分</w:t>
            </w:r>
          </w:p>
        </w:tc>
        <w:tc>
          <w:tcPr>
            <w:tcW w:w="832"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c>
          <w:tcPr>
            <w:tcW w:w="1290"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481" w:hRule="atLeast"/>
          <w:jc w:val="center"/>
        </w:trPr>
        <w:tc>
          <w:tcPr>
            <w:tcW w:w="95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环境卫生</w:t>
            </w:r>
          </w:p>
        </w:tc>
        <w:tc>
          <w:tcPr>
            <w:tcW w:w="88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10分</w:t>
            </w:r>
          </w:p>
        </w:tc>
        <w:tc>
          <w:tcPr>
            <w:tcW w:w="4325"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1、值班室物品卫生整洁。</w:t>
            </w:r>
          </w:p>
        </w:tc>
        <w:tc>
          <w:tcPr>
            <w:tcW w:w="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5分</w:t>
            </w:r>
          </w:p>
        </w:tc>
        <w:tc>
          <w:tcPr>
            <w:tcW w:w="832"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c>
          <w:tcPr>
            <w:tcW w:w="1290"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466" w:hRule="atLeast"/>
          <w:jc w:val="center"/>
        </w:trPr>
        <w:tc>
          <w:tcPr>
            <w:tcW w:w="95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4325"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2、机房保持整洁，无杂物堆积。</w:t>
            </w:r>
          </w:p>
        </w:tc>
        <w:tc>
          <w:tcPr>
            <w:tcW w:w="76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5分</w:t>
            </w:r>
          </w:p>
        </w:tc>
        <w:tc>
          <w:tcPr>
            <w:tcW w:w="832"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c>
          <w:tcPr>
            <w:tcW w:w="1290" w:type="dxa"/>
            <w:tcBorders>
              <w:top w:val="nil"/>
              <w:left w:val="nil"/>
              <w:bottom w:val="single" w:color="auto" w:sz="4" w:space="0"/>
              <w:right w:val="single" w:color="auto" w:sz="4" w:space="0"/>
            </w:tcBorders>
            <w:noWrap w:val="0"/>
            <w:vAlign w:val="center"/>
          </w:tcPr>
          <w:p>
            <w:pPr>
              <w:widowControl/>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378" w:hRule="atLeast"/>
          <w:jc w:val="center"/>
        </w:trPr>
        <w:tc>
          <w:tcPr>
            <w:tcW w:w="9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奖惩</w:t>
            </w:r>
          </w:p>
        </w:tc>
        <w:tc>
          <w:tcPr>
            <w:tcW w:w="88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sz w:val="24"/>
              </w:rPr>
            </w:pPr>
            <w:r>
              <w:rPr>
                <w:rFonts w:hint="eastAsia" w:ascii="宋体" w:hAnsi="宋体" w:cs="宋体"/>
                <w:sz w:val="24"/>
              </w:rPr>
              <w:t>　</w:t>
            </w:r>
          </w:p>
        </w:tc>
        <w:tc>
          <w:tcPr>
            <w:tcW w:w="7212"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color w:val="000000"/>
                <w:sz w:val="24"/>
              </w:rPr>
            </w:pPr>
            <w:r>
              <w:rPr>
                <w:rFonts w:hint="eastAsia" w:ascii="宋体" w:hAnsi="宋体" w:cs="宋体"/>
                <w:color w:val="000000"/>
                <w:sz w:val="24"/>
              </w:rPr>
              <w:t>1、违反安全操作规范，出现安全事故，视情节扣1000-5000元</w:t>
            </w:r>
          </w:p>
        </w:tc>
      </w:tr>
      <w:tr>
        <w:tblPrEx>
          <w:tblCellMar>
            <w:top w:w="0" w:type="dxa"/>
            <w:left w:w="108" w:type="dxa"/>
            <w:bottom w:w="0" w:type="dxa"/>
            <w:right w:w="108" w:type="dxa"/>
          </w:tblCellMar>
        </w:tblPrEx>
        <w:trPr>
          <w:trHeight w:val="270" w:hRule="atLeast"/>
          <w:jc w:val="center"/>
        </w:trPr>
        <w:tc>
          <w:tcPr>
            <w:tcW w:w="95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7212"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color w:val="000000"/>
                <w:sz w:val="24"/>
              </w:rPr>
            </w:pPr>
            <w:r>
              <w:rPr>
                <w:rFonts w:hint="eastAsia" w:ascii="宋体" w:hAnsi="宋体" w:cs="宋体"/>
                <w:color w:val="000000"/>
                <w:sz w:val="24"/>
              </w:rPr>
              <w:t>2、有效投诉，扣200元/次。</w:t>
            </w:r>
          </w:p>
        </w:tc>
      </w:tr>
      <w:tr>
        <w:tblPrEx>
          <w:tblCellMar>
            <w:top w:w="0" w:type="dxa"/>
            <w:left w:w="108" w:type="dxa"/>
            <w:bottom w:w="0" w:type="dxa"/>
            <w:right w:w="108" w:type="dxa"/>
          </w:tblCellMar>
        </w:tblPrEx>
        <w:trPr>
          <w:trHeight w:val="324" w:hRule="atLeast"/>
          <w:jc w:val="center"/>
        </w:trPr>
        <w:tc>
          <w:tcPr>
            <w:tcW w:w="95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7212"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color w:val="000000"/>
                <w:sz w:val="24"/>
              </w:rPr>
            </w:pPr>
            <w:r>
              <w:rPr>
                <w:rFonts w:hint="eastAsia" w:ascii="宋体" w:hAnsi="宋体" w:cs="宋体"/>
                <w:color w:val="000000"/>
                <w:sz w:val="24"/>
              </w:rPr>
              <w:t>3、发现整改不到位，扣200元/次。</w:t>
            </w:r>
          </w:p>
        </w:tc>
      </w:tr>
      <w:tr>
        <w:tblPrEx>
          <w:tblCellMar>
            <w:top w:w="0" w:type="dxa"/>
            <w:left w:w="108" w:type="dxa"/>
            <w:bottom w:w="0" w:type="dxa"/>
            <w:right w:w="108" w:type="dxa"/>
          </w:tblCellMar>
        </w:tblPrEx>
        <w:trPr>
          <w:trHeight w:val="324" w:hRule="atLeast"/>
          <w:jc w:val="center"/>
        </w:trPr>
        <w:tc>
          <w:tcPr>
            <w:tcW w:w="95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7212" w:type="dxa"/>
            <w:gridSpan w:val="4"/>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color w:val="000000"/>
                <w:sz w:val="24"/>
              </w:rPr>
            </w:pPr>
            <w:r>
              <w:rPr>
                <w:rFonts w:hint="eastAsia" w:ascii="宋体" w:hAnsi="宋体" w:cs="宋体"/>
                <w:color w:val="000000"/>
                <w:sz w:val="24"/>
              </w:rPr>
              <w:t>4、获得院级以上表扬，奖500元/次。</w:t>
            </w:r>
          </w:p>
        </w:tc>
      </w:tr>
      <w:tr>
        <w:tblPrEx>
          <w:tblCellMar>
            <w:top w:w="0" w:type="dxa"/>
            <w:left w:w="108" w:type="dxa"/>
            <w:bottom w:w="0" w:type="dxa"/>
            <w:right w:w="108" w:type="dxa"/>
          </w:tblCellMar>
        </w:tblPrEx>
        <w:trPr>
          <w:trHeight w:val="324" w:hRule="atLeast"/>
          <w:jc w:val="center"/>
        </w:trPr>
        <w:tc>
          <w:tcPr>
            <w:tcW w:w="95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883"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宋体" w:hAnsi="宋体" w:cs="宋体"/>
                <w:sz w:val="24"/>
              </w:rPr>
            </w:pPr>
          </w:p>
        </w:tc>
        <w:tc>
          <w:tcPr>
            <w:tcW w:w="7212" w:type="dxa"/>
            <w:gridSpan w:val="4"/>
            <w:tcBorders>
              <w:top w:val="single" w:color="auto" w:sz="4" w:space="0"/>
              <w:left w:val="nil"/>
              <w:bottom w:val="nil"/>
              <w:right w:val="single" w:color="auto" w:sz="4" w:space="0"/>
            </w:tcBorders>
            <w:noWrap w:val="0"/>
            <w:vAlign w:val="center"/>
          </w:tcPr>
          <w:p>
            <w:pPr>
              <w:widowControl/>
              <w:rPr>
                <w:rFonts w:hint="eastAsia" w:ascii="宋体" w:hAnsi="宋体" w:cs="宋体" w:eastAsiaTheme="minorEastAsia"/>
                <w:color w:val="000000"/>
                <w:sz w:val="24"/>
                <w:lang w:eastAsia="zh-CN"/>
              </w:rPr>
            </w:pPr>
            <w:r>
              <w:rPr>
                <w:rFonts w:hint="eastAsia" w:ascii="宋体" w:hAnsi="宋体" w:cs="宋体"/>
                <w:color w:val="000000"/>
                <w:sz w:val="24"/>
              </w:rPr>
              <w:t>5、月考核&lt;90分，每分扣100元</w:t>
            </w:r>
            <w:r>
              <w:rPr>
                <w:rFonts w:hint="eastAsia" w:ascii="宋体" w:hAnsi="宋体" w:cs="宋体"/>
                <w:color w:val="000000"/>
                <w:sz w:val="24"/>
                <w:lang w:val="en-US" w:eastAsia="zh-CN"/>
              </w:rPr>
              <w:t>。</w:t>
            </w:r>
          </w:p>
        </w:tc>
      </w:tr>
      <w:tr>
        <w:tblPrEx>
          <w:tblCellMar>
            <w:top w:w="0" w:type="dxa"/>
            <w:left w:w="108" w:type="dxa"/>
            <w:bottom w:w="0" w:type="dxa"/>
            <w:right w:w="108" w:type="dxa"/>
          </w:tblCellMar>
        </w:tblPrEx>
        <w:trPr>
          <w:trHeight w:val="448" w:hRule="atLeast"/>
          <w:jc w:val="center"/>
        </w:trPr>
        <w:tc>
          <w:tcPr>
            <w:tcW w:w="1833"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sz w:val="24"/>
              </w:rPr>
            </w:pPr>
            <w:r>
              <w:rPr>
                <w:rFonts w:hint="eastAsia" w:ascii="宋体" w:hAnsi="宋体" w:cs="宋体"/>
                <w:sz w:val="24"/>
              </w:rPr>
              <w:t>考核结果</w:t>
            </w:r>
          </w:p>
        </w:tc>
        <w:tc>
          <w:tcPr>
            <w:tcW w:w="7212" w:type="dxa"/>
            <w:gridSpan w:val="4"/>
            <w:tcBorders>
              <w:top w:val="single" w:color="auto" w:sz="4" w:space="0"/>
              <w:left w:val="nil"/>
              <w:bottom w:val="single" w:color="auto" w:sz="4" w:space="0"/>
              <w:right w:val="single" w:color="000000" w:sz="4" w:space="0"/>
            </w:tcBorders>
            <w:noWrap w:val="0"/>
            <w:vAlign w:val="center"/>
          </w:tcPr>
          <w:p>
            <w:pPr>
              <w:widowControl/>
              <w:rPr>
                <w:rFonts w:hint="eastAsia" w:ascii="宋体" w:hAnsi="宋体" w:cs="宋体"/>
                <w:sz w:val="24"/>
              </w:rPr>
            </w:pPr>
            <w:r>
              <w:rPr>
                <w:rFonts w:hint="eastAsia" w:ascii="宋体" w:hAnsi="宋体" w:cs="宋体"/>
                <w:sz w:val="24"/>
              </w:rPr>
              <w:t xml:space="preserve"> 得分：       奖惩：</w:t>
            </w:r>
          </w:p>
        </w:tc>
      </w:tr>
      <w:tr>
        <w:tblPrEx>
          <w:tblCellMar>
            <w:top w:w="0" w:type="dxa"/>
            <w:left w:w="108" w:type="dxa"/>
            <w:bottom w:w="0" w:type="dxa"/>
            <w:right w:w="108" w:type="dxa"/>
          </w:tblCellMar>
        </w:tblPrEx>
        <w:trPr>
          <w:trHeight w:val="540" w:hRule="atLeast"/>
          <w:jc w:val="center"/>
        </w:trPr>
        <w:tc>
          <w:tcPr>
            <w:tcW w:w="1833"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sz w:val="24"/>
              </w:rPr>
            </w:pPr>
            <w:r>
              <w:rPr>
                <w:rFonts w:hint="eastAsia" w:ascii="宋体" w:hAnsi="宋体" w:cs="宋体"/>
                <w:sz w:val="24"/>
              </w:rPr>
              <w:t>存在问题</w:t>
            </w:r>
          </w:p>
        </w:tc>
        <w:tc>
          <w:tcPr>
            <w:tcW w:w="7212" w:type="dxa"/>
            <w:gridSpan w:val="4"/>
            <w:tcBorders>
              <w:top w:val="nil"/>
              <w:left w:val="nil"/>
              <w:bottom w:val="single" w:color="auto" w:sz="4" w:space="0"/>
              <w:right w:val="single" w:color="000000" w:sz="4" w:space="0"/>
            </w:tcBorders>
            <w:noWrap w:val="0"/>
            <w:vAlign w:val="center"/>
          </w:tcPr>
          <w:p>
            <w:pPr>
              <w:widowControl/>
              <w:jc w:val="center"/>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470" w:hRule="atLeast"/>
          <w:jc w:val="center"/>
        </w:trPr>
        <w:tc>
          <w:tcPr>
            <w:tcW w:w="1833"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sz w:val="24"/>
              </w:rPr>
            </w:pPr>
            <w:r>
              <w:rPr>
                <w:rFonts w:hint="eastAsia" w:ascii="宋体" w:hAnsi="宋体" w:cs="宋体"/>
                <w:sz w:val="24"/>
              </w:rPr>
              <w:t>整改措施</w:t>
            </w:r>
          </w:p>
        </w:tc>
        <w:tc>
          <w:tcPr>
            <w:tcW w:w="7212"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sz w:val="24"/>
              </w:rPr>
            </w:pPr>
            <w:r>
              <w:rPr>
                <w:rFonts w:hint="eastAsia" w:ascii="宋体" w:hAnsi="宋体" w:cs="宋体"/>
                <w:sz w:val="24"/>
              </w:rPr>
              <w:t>　</w:t>
            </w:r>
          </w:p>
        </w:tc>
      </w:tr>
      <w:tr>
        <w:tblPrEx>
          <w:tblCellMar>
            <w:top w:w="0" w:type="dxa"/>
            <w:left w:w="108" w:type="dxa"/>
            <w:bottom w:w="0" w:type="dxa"/>
            <w:right w:w="108" w:type="dxa"/>
          </w:tblCellMar>
        </w:tblPrEx>
        <w:trPr>
          <w:trHeight w:val="503" w:hRule="atLeast"/>
          <w:jc w:val="center"/>
        </w:trPr>
        <w:tc>
          <w:tcPr>
            <w:tcW w:w="1833" w:type="dxa"/>
            <w:gridSpan w:val="2"/>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宋体" w:hAnsi="宋体" w:cs="宋体"/>
                <w:sz w:val="24"/>
              </w:rPr>
            </w:pPr>
            <w:r>
              <w:rPr>
                <w:rFonts w:hint="eastAsia" w:ascii="宋体" w:hAnsi="宋体" w:cs="宋体"/>
                <w:sz w:val="24"/>
              </w:rPr>
              <w:t>落实情况</w:t>
            </w:r>
          </w:p>
        </w:tc>
        <w:tc>
          <w:tcPr>
            <w:tcW w:w="721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sz w:val="24"/>
              </w:rPr>
            </w:pPr>
            <w:r>
              <w:rPr>
                <w:rFonts w:hint="eastAsia" w:ascii="宋体" w:hAnsi="宋体" w:cs="宋体"/>
                <w:color w:val="000000"/>
                <w:sz w:val="24"/>
              </w:rPr>
              <w:t>　</w:t>
            </w:r>
          </w:p>
        </w:tc>
      </w:tr>
      <w:tr>
        <w:tblPrEx>
          <w:tblCellMar>
            <w:top w:w="0" w:type="dxa"/>
            <w:left w:w="108" w:type="dxa"/>
            <w:bottom w:w="0" w:type="dxa"/>
            <w:right w:w="108" w:type="dxa"/>
          </w:tblCellMar>
        </w:tblPrEx>
        <w:trPr>
          <w:trHeight w:val="256" w:hRule="atLeast"/>
          <w:jc w:val="center"/>
        </w:trPr>
        <w:tc>
          <w:tcPr>
            <w:tcW w:w="950" w:type="dxa"/>
            <w:tcBorders>
              <w:top w:val="nil"/>
              <w:left w:val="nil"/>
              <w:bottom w:val="nil"/>
              <w:right w:val="nil"/>
            </w:tcBorders>
            <w:noWrap w:val="0"/>
            <w:vAlign w:val="center"/>
          </w:tcPr>
          <w:p>
            <w:pPr>
              <w:widowControl/>
              <w:rPr>
                <w:rFonts w:hint="eastAsia" w:ascii="宋体" w:hAnsi="宋体" w:cs="宋体"/>
                <w:sz w:val="24"/>
              </w:rPr>
            </w:pPr>
          </w:p>
        </w:tc>
        <w:tc>
          <w:tcPr>
            <w:tcW w:w="883" w:type="dxa"/>
            <w:tcBorders>
              <w:top w:val="nil"/>
              <w:left w:val="nil"/>
              <w:bottom w:val="nil"/>
              <w:right w:val="nil"/>
            </w:tcBorders>
            <w:noWrap w:val="0"/>
            <w:vAlign w:val="center"/>
          </w:tcPr>
          <w:p>
            <w:pPr>
              <w:widowControl/>
              <w:rPr>
                <w:rFonts w:hint="eastAsia" w:ascii="宋体" w:hAnsi="宋体" w:cs="宋体"/>
                <w:sz w:val="24"/>
              </w:rPr>
            </w:pPr>
          </w:p>
        </w:tc>
        <w:tc>
          <w:tcPr>
            <w:tcW w:w="4325" w:type="dxa"/>
            <w:tcBorders>
              <w:top w:val="nil"/>
              <w:left w:val="nil"/>
              <w:bottom w:val="nil"/>
              <w:right w:val="nil"/>
            </w:tcBorders>
            <w:noWrap w:val="0"/>
            <w:vAlign w:val="center"/>
          </w:tcPr>
          <w:p>
            <w:pPr>
              <w:widowControl/>
              <w:rPr>
                <w:rFonts w:hint="eastAsia" w:ascii="宋体" w:hAnsi="宋体" w:cs="宋体"/>
                <w:sz w:val="24"/>
              </w:rPr>
            </w:pPr>
          </w:p>
        </w:tc>
        <w:tc>
          <w:tcPr>
            <w:tcW w:w="765" w:type="dxa"/>
            <w:tcBorders>
              <w:top w:val="nil"/>
              <w:left w:val="nil"/>
              <w:bottom w:val="nil"/>
              <w:right w:val="nil"/>
            </w:tcBorders>
            <w:noWrap w:val="0"/>
            <w:vAlign w:val="center"/>
          </w:tcPr>
          <w:p>
            <w:pPr>
              <w:widowControl/>
              <w:rPr>
                <w:rFonts w:hint="eastAsia" w:ascii="宋体" w:hAnsi="宋体" w:cs="宋体"/>
                <w:sz w:val="24"/>
              </w:rPr>
            </w:pPr>
          </w:p>
        </w:tc>
        <w:tc>
          <w:tcPr>
            <w:tcW w:w="832" w:type="dxa"/>
            <w:tcBorders>
              <w:top w:val="nil"/>
              <w:left w:val="nil"/>
              <w:bottom w:val="nil"/>
              <w:right w:val="nil"/>
            </w:tcBorders>
            <w:noWrap w:val="0"/>
            <w:vAlign w:val="center"/>
          </w:tcPr>
          <w:p>
            <w:pPr>
              <w:widowControl/>
              <w:rPr>
                <w:rFonts w:hint="eastAsia" w:ascii="宋体" w:hAnsi="宋体" w:cs="宋体"/>
                <w:sz w:val="24"/>
              </w:rPr>
            </w:pPr>
          </w:p>
        </w:tc>
        <w:tc>
          <w:tcPr>
            <w:tcW w:w="1290" w:type="dxa"/>
            <w:tcBorders>
              <w:top w:val="nil"/>
              <w:left w:val="nil"/>
              <w:bottom w:val="nil"/>
              <w:right w:val="nil"/>
            </w:tcBorders>
            <w:noWrap w:val="0"/>
            <w:vAlign w:val="center"/>
          </w:tcPr>
          <w:p>
            <w:pPr>
              <w:widowControl/>
              <w:rPr>
                <w:rFonts w:hint="eastAsia" w:ascii="宋体" w:hAnsi="宋体" w:cs="宋体"/>
                <w:sz w:val="24"/>
              </w:rPr>
            </w:pPr>
          </w:p>
        </w:tc>
      </w:tr>
      <w:tr>
        <w:tblPrEx>
          <w:tblCellMar>
            <w:top w:w="0" w:type="dxa"/>
            <w:left w:w="108" w:type="dxa"/>
            <w:bottom w:w="0" w:type="dxa"/>
            <w:right w:w="108" w:type="dxa"/>
          </w:tblCellMar>
        </w:tblPrEx>
        <w:trPr>
          <w:trHeight w:val="405" w:hRule="atLeast"/>
          <w:jc w:val="center"/>
        </w:trPr>
        <w:tc>
          <w:tcPr>
            <w:tcW w:w="7755" w:type="dxa"/>
            <w:gridSpan w:val="5"/>
            <w:tcBorders>
              <w:top w:val="nil"/>
              <w:left w:val="nil"/>
              <w:bottom w:val="nil"/>
              <w:right w:val="nil"/>
            </w:tcBorders>
            <w:noWrap w:val="0"/>
            <w:vAlign w:val="center"/>
          </w:tcPr>
          <w:p>
            <w:pPr>
              <w:widowControl/>
              <w:rPr>
                <w:rFonts w:hint="eastAsia" w:ascii="宋体" w:hAnsi="宋体" w:cs="宋体"/>
                <w:color w:val="000000"/>
                <w:sz w:val="24"/>
              </w:rPr>
            </w:pPr>
            <w:r>
              <w:rPr>
                <w:rFonts w:hint="eastAsia" w:ascii="宋体" w:hAnsi="宋体" w:cs="宋体"/>
                <w:color w:val="000000"/>
                <w:sz w:val="24"/>
              </w:rPr>
              <w:t xml:space="preserve">                                                     考核人：                                                 </w:t>
            </w:r>
          </w:p>
        </w:tc>
        <w:tc>
          <w:tcPr>
            <w:tcW w:w="1290" w:type="dxa"/>
            <w:tcBorders>
              <w:top w:val="nil"/>
              <w:left w:val="nil"/>
              <w:bottom w:val="nil"/>
              <w:right w:val="nil"/>
            </w:tcBorders>
            <w:noWrap w:val="0"/>
            <w:vAlign w:val="center"/>
          </w:tcPr>
          <w:p>
            <w:pPr>
              <w:widowControl/>
              <w:rPr>
                <w:rFonts w:hint="eastAsia" w:ascii="宋体" w:hAnsi="宋体" w:cs="宋体"/>
                <w:color w:val="000000"/>
                <w:sz w:val="24"/>
              </w:rPr>
            </w:pPr>
          </w:p>
        </w:tc>
      </w:tr>
    </w:tbl>
    <w:p>
      <w:pPr>
        <w:keepNext w:val="0"/>
        <w:keepLines w:val="0"/>
        <w:pageBreakBefore w:val="0"/>
        <w:widowControl w:val="0"/>
        <w:wordWrap/>
        <w:topLinePunct w:val="0"/>
        <w:bidi w:val="0"/>
        <w:spacing w:line="360" w:lineRule="auto"/>
        <w:rPr>
          <w:rFonts w:hint="eastAsia" w:ascii="Times New Roman" w:hAnsi="Times New Roman" w:eastAsia="宋体" w:cs="宋体"/>
          <w:w w:val="80"/>
          <w:sz w:val="48"/>
          <w:szCs w:val="44"/>
        </w:rPr>
      </w:pPr>
      <w:r>
        <w:rPr>
          <w:rFonts w:hint="eastAsia" w:ascii="Times New Roman" w:hAnsi="Times New Roman" w:eastAsia="宋体" w:cs="宋体"/>
          <w:w w:val="80"/>
          <w:sz w:val="48"/>
          <w:szCs w:val="44"/>
        </w:rPr>
        <w:br w:type="page"/>
      </w:r>
    </w:p>
    <w:p>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43217893"/>
      <w:bookmarkStart w:id="11" w:name="_Toc85627670"/>
      <w:bookmarkStart w:id="12" w:name="_Toc38121794"/>
      <w:bookmarkStart w:id="13" w:name="_Toc37322565"/>
      <w:bookmarkStart w:id="14" w:name="_Toc182848996"/>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bookmarkStart w:id="15" w:name="_Toc363573857"/>
      <w:bookmarkEnd w:id="15"/>
      <w:r>
        <w:rPr>
          <w:rFonts w:hint="eastAsia" w:ascii="Times New Roman" w:hAnsi="Times New Roman" w:eastAsia="宋体" w:cs="宋体"/>
          <w:b/>
          <w:bCs/>
          <w:szCs w:val="24"/>
          <w:shd w:val="clear" w:color="auto" w:fill="FFFFFF"/>
        </w:rPr>
        <w:t>一、代理机构组织磋商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二、磋商的原则及方法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公开、公平、公正、择优、信用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的原则进行磋商评审。</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FF0000"/>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三、磋商评定结果的方法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lang w:val="en-US" w:eastAsia="zh-CN"/>
        </w:rPr>
        <w:t>90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lang w:val="en-US" w:eastAsia="zh-CN"/>
        </w:rPr>
        <w:t>10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四、综合评分评审标准</w:t>
      </w:r>
    </w:p>
    <w:p>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（一）商务技术分：</w:t>
      </w:r>
      <w:r>
        <w:rPr>
          <w:rFonts w:hint="eastAsia" w:ascii="Times New Roman" w:hAnsi="Times New Roman" w:eastAsia="宋体" w:cs="宋体"/>
          <w:b/>
          <w:bCs/>
          <w:szCs w:val="24"/>
          <w:shd w:val="clear" w:color="auto" w:fill="FFFFFF"/>
          <w:lang w:val="en-US" w:eastAsia="zh-CN"/>
        </w:rPr>
        <w:t>90</w:t>
      </w:r>
      <w:r>
        <w:rPr>
          <w:rFonts w:hint="eastAsia" w:ascii="Times New Roman" w:hAnsi="Times New Roman" w:eastAsia="宋体" w:cs="宋体"/>
          <w:b/>
          <w:bCs/>
          <w:szCs w:val="24"/>
          <w:shd w:val="clear" w:color="auto" w:fill="FFFFFF"/>
        </w:rPr>
        <w:t>分</w:t>
      </w:r>
    </w:p>
    <w:tbl>
      <w:tblPr>
        <w:tblStyle w:val="24"/>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70"/>
        <w:gridCol w:w="95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评审项目</w:t>
            </w:r>
          </w:p>
        </w:tc>
        <w:tc>
          <w:tcPr>
            <w:tcW w:w="9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lang w:eastAsia="zh-CN"/>
              </w:rPr>
              <w:t>满</w:t>
            </w:r>
            <w:r>
              <w:rPr>
                <w:rFonts w:hint="eastAsia" w:ascii="宋体" w:hAnsi="宋体" w:eastAsia="宋体" w:cs="宋体"/>
                <w:b/>
                <w:bCs/>
                <w:sz w:val="24"/>
                <w:szCs w:val="24"/>
              </w:rPr>
              <w:t>分</w:t>
            </w:r>
          </w:p>
        </w:tc>
        <w:tc>
          <w:tcPr>
            <w:tcW w:w="6135"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技术评审因素及评分规定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7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星级</w:t>
            </w:r>
            <w:r>
              <w:rPr>
                <w:rFonts w:hint="eastAsia" w:ascii="宋体" w:hAnsi="宋体" w:eastAsia="宋体" w:cs="宋体"/>
                <w:sz w:val="24"/>
                <w:szCs w:val="24"/>
              </w:rPr>
              <w:t>认证</w:t>
            </w:r>
          </w:p>
        </w:tc>
        <w:tc>
          <w:tcPr>
            <w:tcW w:w="9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135" w:type="dxa"/>
            <w:vAlign w:val="top"/>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人具有市场监督管理部门评为维保星</w:t>
            </w:r>
            <w:r>
              <w:rPr>
                <w:rFonts w:hint="eastAsia" w:ascii="宋体" w:hAnsi="宋体" w:eastAsia="宋体" w:cs="宋体"/>
                <w:sz w:val="24"/>
                <w:szCs w:val="24"/>
              </w:rPr>
              <w:t>级服务</w:t>
            </w:r>
            <w:r>
              <w:rPr>
                <w:rFonts w:hint="eastAsia" w:ascii="宋体" w:hAnsi="宋体" w:eastAsia="宋体" w:cs="宋体"/>
                <w:sz w:val="24"/>
                <w:szCs w:val="24"/>
                <w:lang w:eastAsia="zh-CN"/>
              </w:rPr>
              <w:t>五星</w:t>
            </w:r>
            <w:r>
              <w:rPr>
                <w:rFonts w:hint="eastAsia" w:ascii="宋体" w:hAnsi="宋体" w:eastAsia="宋体" w:cs="宋体"/>
                <w:sz w:val="24"/>
                <w:szCs w:val="24"/>
              </w:rPr>
              <w:t>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r>
              <w:rPr>
                <w:rFonts w:hint="eastAsia" w:ascii="宋体" w:hAnsi="宋体" w:eastAsia="宋体" w:cs="宋体"/>
                <w:sz w:val="24"/>
                <w:szCs w:val="24"/>
                <w:lang w:eastAsia="zh-CN"/>
              </w:rPr>
              <w:t>四</w:t>
            </w:r>
            <w:r>
              <w:rPr>
                <w:rFonts w:hint="eastAsia" w:ascii="宋体" w:hAnsi="宋体" w:eastAsia="宋体" w:cs="宋体"/>
                <w:sz w:val="24"/>
                <w:szCs w:val="24"/>
              </w:rPr>
              <w:t>星的得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三</w:t>
            </w:r>
            <w:r>
              <w:rPr>
                <w:rFonts w:hint="eastAsia" w:ascii="宋体" w:hAnsi="宋体" w:eastAsia="宋体" w:cs="宋体"/>
                <w:sz w:val="24"/>
                <w:szCs w:val="24"/>
              </w:rPr>
              <w:t>星的得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val="en-US" w:eastAsia="zh-CN"/>
              </w:rPr>
              <w:t>.</w:t>
            </w:r>
            <w:r>
              <w:rPr>
                <w:rFonts w:hint="eastAsia" w:ascii="宋体" w:hAnsi="宋体" w:eastAsia="宋体" w:cs="宋体"/>
                <w:sz w:val="24"/>
                <w:szCs w:val="24"/>
              </w:rPr>
              <w:t>【提供202</w:t>
            </w:r>
            <w:r>
              <w:rPr>
                <w:rFonts w:hint="eastAsia" w:ascii="宋体" w:hAnsi="宋体" w:eastAsia="宋体" w:cs="宋体"/>
                <w:sz w:val="24"/>
                <w:szCs w:val="24"/>
                <w:lang w:val="en-US" w:eastAsia="zh-CN"/>
              </w:rPr>
              <w:t>3</w:t>
            </w:r>
            <w:r>
              <w:rPr>
                <w:rFonts w:hint="eastAsia" w:ascii="宋体" w:hAnsi="宋体" w:eastAsia="宋体" w:cs="宋体"/>
                <w:sz w:val="24"/>
                <w:szCs w:val="24"/>
              </w:rPr>
              <w:t>年度的《江苏省电梯维保单位星级证书</w:t>
            </w:r>
            <w:r>
              <w:rPr>
                <w:rFonts w:hint="eastAsia" w:ascii="宋体" w:hAnsi="宋体" w:eastAsia="宋体" w:cs="宋体"/>
                <w:color w:val="auto"/>
                <w:sz w:val="24"/>
                <w:szCs w:val="24"/>
              </w:rPr>
              <w:t>（适用地区：</w:t>
            </w:r>
            <w:r>
              <w:rPr>
                <w:rFonts w:hint="eastAsia" w:ascii="宋体" w:hAnsi="宋体" w:eastAsia="宋体" w:cs="宋体"/>
                <w:color w:val="auto"/>
                <w:sz w:val="24"/>
                <w:szCs w:val="24"/>
                <w:lang w:eastAsia="zh-CN"/>
              </w:rPr>
              <w:t>南通</w:t>
            </w:r>
            <w:r>
              <w:rPr>
                <w:rFonts w:hint="eastAsia" w:ascii="宋体" w:hAnsi="宋体" w:eastAsia="宋体" w:cs="宋体"/>
                <w:color w:val="auto"/>
                <w:sz w:val="24"/>
                <w:szCs w:val="24"/>
              </w:rPr>
              <w:t>市）</w:t>
            </w:r>
            <w:r>
              <w:rPr>
                <w:rFonts w:hint="eastAsia" w:ascii="宋体" w:hAnsi="宋体" w:eastAsia="宋体" w:cs="宋体"/>
                <w:sz w:val="24"/>
                <w:szCs w:val="24"/>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7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体系认证</w:t>
            </w:r>
          </w:p>
        </w:tc>
        <w:tc>
          <w:tcPr>
            <w:tcW w:w="9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135" w:type="dxa"/>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lang w:eastAsia="zh-CN"/>
              </w:rPr>
              <w:t>响应</w:t>
            </w:r>
            <w:r>
              <w:rPr>
                <w:rFonts w:hint="eastAsia" w:ascii="宋体" w:hAnsi="宋体" w:eastAsia="宋体" w:cs="宋体"/>
                <w:sz w:val="24"/>
                <w:szCs w:val="24"/>
              </w:rPr>
              <w:t>人应加入南通市市政府批复的“南通110社会化报警服务体系”</w:t>
            </w:r>
            <w:r>
              <w:rPr>
                <w:rFonts w:hint="eastAsia" w:ascii="宋体" w:hAnsi="宋体" w:eastAsia="宋体" w:cs="宋体"/>
                <w:sz w:val="24"/>
                <w:szCs w:val="24"/>
                <w:lang w:eastAsia="zh-CN"/>
              </w:rPr>
              <w:t>，提供证明得</w:t>
            </w:r>
            <w:r>
              <w:rPr>
                <w:rFonts w:hint="eastAsia" w:ascii="宋体" w:hAnsi="宋体" w:eastAsia="宋体" w:cs="宋体"/>
                <w:sz w:val="24"/>
                <w:szCs w:val="24"/>
              </w:rPr>
              <w:t>2分</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7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人员配备</w:t>
            </w:r>
          </w:p>
        </w:tc>
        <w:tc>
          <w:tcPr>
            <w:tcW w:w="9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135" w:type="dxa"/>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人拟投入本项目的维保人员</w:t>
            </w:r>
            <w:r>
              <w:rPr>
                <w:rFonts w:hint="eastAsia" w:ascii="宋体" w:hAnsi="宋体" w:eastAsia="宋体" w:cs="宋体"/>
                <w:color w:val="auto"/>
                <w:sz w:val="24"/>
                <w:szCs w:val="24"/>
                <w:lang w:eastAsia="zh-CN"/>
              </w:rPr>
              <w:t>不少于</w:t>
            </w:r>
            <w:r>
              <w:rPr>
                <w:rFonts w:hint="eastAsia" w:ascii="宋体" w:hAnsi="宋体" w:eastAsia="宋体" w:cs="宋体"/>
                <w:color w:val="auto"/>
                <w:sz w:val="24"/>
                <w:szCs w:val="24"/>
                <w:lang w:val="en-US" w:eastAsia="zh-CN"/>
              </w:rPr>
              <w:t>2人，否则</w:t>
            </w:r>
            <w:r>
              <w:rPr>
                <w:rFonts w:hint="eastAsia" w:ascii="宋体" w:hAnsi="宋体" w:eastAsia="宋体" w:cs="宋体"/>
                <w:color w:val="auto"/>
                <w:sz w:val="24"/>
                <w:szCs w:val="24"/>
              </w:rPr>
              <w:t>做无效标处理</w:t>
            </w:r>
            <w:r>
              <w:rPr>
                <w:rFonts w:hint="eastAsia" w:ascii="宋体" w:hAnsi="宋体" w:eastAsia="宋体" w:cs="宋体"/>
                <w:color w:val="auto"/>
                <w:sz w:val="24"/>
                <w:szCs w:val="24"/>
                <w:lang w:eastAsia="zh-CN"/>
              </w:rPr>
              <w:t>。</w:t>
            </w:r>
            <w:r>
              <w:rPr>
                <w:rFonts w:hint="eastAsia" w:ascii="宋体" w:hAnsi="宋体" w:eastAsia="宋体" w:cs="宋体"/>
                <w:b/>
                <w:bCs/>
                <w:color w:val="auto"/>
                <w:sz w:val="24"/>
                <w:szCs w:val="24"/>
                <w:lang w:eastAsia="zh-CN"/>
              </w:rPr>
              <w:t>提供驻点服务的得</w:t>
            </w:r>
            <w:r>
              <w:rPr>
                <w:rFonts w:hint="eastAsia" w:ascii="宋体" w:hAnsi="宋体" w:eastAsia="宋体" w:cs="宋体"/>
                <w:b/>
                <w:bCs/>
                <w:color w:val="auto"/>
                <w:sz w:val="24"/>
                <w:szCs w:val="24"/>
                <w:lang w:val="en-US" w:eastAsia="zh-CN"/>
              </w:rPr>
              <w:t>9分，不提供不得分。</w:t>
            </w:r>
            <w:r>
              <w:rPr>
                <w:rFonts w:hint="eastAsia" w:ascii="宋体" w:hAnsi="宋体" w:eastAsia="宋体" w:cs="宋体"/>
                <w:sz w:val="24"/>
                <w:szCs w:val="24"/>
              </w:rPr>
              <w:t>（提供承诺函，加盖公章）</w:t>
            </w:r>
          </w:p>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具有特种设备操作人员证书的，一个得2分，最高</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p>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（提供证书复印件及本单位连续近三个月的社保缴费证明加盖公章）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27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备件存储</w:t>
            </w:r>
          </w:p>
        </w:tc>
        <w:tc>
          <w:tcPr>
            <w:tcW w:w="9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6135" w:type="dxa"/>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rPr>
                <w:rFonts w:hint="eastAsia" w:ascii="宋体" w:hAnsi="宋体" w:eastAsia="宋体" w:cs="宋体"/>
                <w:color w:val="000000"/>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人承诺</w:t>
            </w:r>
            <w:r>
              <w:rPr>
                <w:rFonts w:hint="eastAsia" w:ascii="宋体" w:hAnsi="宋体" w:eastAsia="宋体" w:cs="宋体"/>
                <w:sz w:val="24"/>
                <w:szCs w:val="24"/>
                <w:lang w:eastAsia="zh-CN"/>
              </w:rPr>
              <w:t>成交</w:t>
            </w:r>
            <w:r>
              <w:rPr>
                <w:rFonts w:hint="eastAsia" w:ascii="宋体" w:hAnsi="宋体" w:eastAsia="宋体" w:cs="宋体"/>
                <w:sz w:val="24"/>
                <w:szCs w:val="24"/>
              </w:rPr>
              <w:t>后</w:t>
            </w:r>
            <w:r>
              <w:rPr>
                <w:rFonts w:hint="eastAsia" w:ascii="宋体" w:hAnsi="宋体" w:eastAsia="宋体" w:cs="宋体"/>
                <w:color w:val="auto"/>
                <w:sz w:val="24"/>
                <w:szCs w:val="24"/>
                <w:lang w:eastAsia="zh-CN"/>
              </w:rPr>
              <w:t>在本地</w:t>
            </w:r>
            <w:r>
              <w:rPr>
                <w:rFonts w:hint="eastAsia" w:ascii="宋体" w:hAnsi="宋体" w:eastAsia="宋体" w:cs="宋体"/>
                <w:color w:val="auto"/>
                <w:sz w:val="24"/>
                <w:szCs w:val="24"/>
              </w:rPr>
              <w:t>设</w:t>
            </w:r>
            <w:r>
              <w:rPr>
                <w:rFonts w:hint="eastAsia" w:ascii="宋体" w:hAnsi="宋体" w:eastAsia="宋体" w:cs="宋体"/>
                <w:sz w:val="24"/>
                <w:szCs w:val="24"/>
              </w:rPr>
              <w:t>有为本项目服务的常用配件二级库的得</w:t>
            </w:r>
            <w:r>
              <w:rPr>
                <w:rFonts w:hint="eastAsia" w:ascii="宋体" w:hAnsi="宋体" w:eastAsia="宋体" w:cs="宋体"/>
                <w:sz w:val="24"/>
                <w:szCs w:val="24"/>
                <w:lang w:val="en-US" w:eastAsia="zh-CN"/>
              </w:rPr>
              <w:t>5</w:t>
            </w:r>
            <w:r>
              <w:rPr>
                <w:rFonts w:hint="eastAsia" w:ascii="宋体" w:hAnsi="宋体" w:eastAsia="宋体" w:cs="宋体"/>
                <w:sz w:val="24"/>
                <w:szCs w:val="24"/>
              </w:rPr>
              <w:t>分，没有不得分。（提供相关证明材料或承诺函，加盖公章）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rPr>
              <w:t>运维组织及培训方案</w:t>
            </w:r>
          </w:p>
        </w:tc>
        <w:tc>
          <w:tcPr>
            <w:tcW w:w="9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根据供应商提供的方案（包括从日常各项运维工作的维保计划安排、组织培训安排、日常巡查安排等）进行综合比较，满分1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bidi="ar-SA"/>
              </w:rPr>
              <w:t>1、</w:t>
            </w:r>
            <w:r>
              <w:rPr>
                <w:rFonts w:hint="eastAsia" w:ascii="宋体" w:hAnsi="宋体" w:eastAsia="宋体" w:cs="宋体"/>
                <w:sz w:val="24"/>
                <w:szCs w:val="24"/>
              </w:rPr>
              <w:t>方案详尽周全清晰、细致规范、操作性高的得1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方案较详尽清晰、较规范、操作性一般的得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方案基本合理、描述一般、操作性不强的得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000000"/>
                <w:sz w:val="24"/>
                <w:szCs w:val="24"/>
              </w:rPr>
            </w:pPr>
            <w:r>
              <w:rPr>
                <w:rFonts w:hint="eastAsia" w:ascii="宋体" w:hAnsi="宋体" w:eastAsia="宋体" w:cs="宋体"/>
                <w:sz w:val="24"/>
                <w:szCs w:val="24"/>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rPr>
              <w:t>运维技术方案</w:t>
            </w:r>
          </w:p>
        </w:tc>
        <w:tc>
          <w:tcPr>
            <w:tcW w:w="9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根据供应商提供的方案（包括从</w:t>
            </w:r>
            <w:r>
              <w:rPr>
                <w:rFonts w:hint="eastAsia" w:ascii="宋体" w:hAnsi="宋体" w:eastAsia="宋体" w:cs="宋体"/>
                <w:color w:val="000000"/>
                <w:sz w:val="24"/>
                <w:szCs w:val="24"/>
              </w:rPr>
              <w:t>运维的单项作业、设备巡检、故障维修、维修资料管理、维修质量保证措施、针对维保的文明施工等</w:t>
            </w:r>
            <w:r>
              <w:rPr>
                <w:rFonts w:hint="eastAsia" w:ascii="宋体" w:hAnsi="宋体" w:eastAsia="宋体" w:cs="宋体"/>
                <w:sz w:val="24"/>
                <w:szCs w:val="24"/>
              </w:rPr>
              <w:t>）进行综合比较，满分1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bidi="ar-SA"/>
              </w:rPr>
              <w:t>1、</w:t>
            </w:r>
            <w:r>
              <w:rPr>
                <w:rFonts w:hint="eastAsia" w:ascii="宋体" w:hAnsi="宋体" w:eastAsia="宋体" w:cs="宋体"/>
                <w:sz w:val="24"/>
                <w:szCs w:val="24"/>
              </w:rPr>
              <w:t>方案详尽周全清晰、难点问题分析全面</w:t>
            </w:r>
            <w:r>
              <w:rPr>
                <w:rFonts w:hint="eastAsia" w:ascii="宋体" w:hAnsi="宋体" w:eastAsia="宋体" w:cs="宋体"/>
                <w:sz w:val="24"/>
                <w:szCs w:val="24"/>
                <w:lang w:eastAsia="zh-CN"/>
              </w:rPr>
              <w:t>、</w:t>
            </w:r>
            <w:r>
              <w:rPr>
                <w:rFonts w:hint="eastAsia" w:ascii="宋体" w:hAnsi="宋体" w:eastAsia="宋体" w:cs="宋体"/>
                <w:sz w:val="24"/>
                <w:szCs w:val="24"/>
              </w:rPr>
              <w:t>解决方法高效合理的得1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方案较详尽清晰、难点问题分析较全面、解决方法具有合理化建议的得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项目方案</w:t>
            </w:r>
            <w:r>
              <w:rPr>
                <w:rFonts w:hint="eastAsia" w:ascii="宋体" w:hAnsi="宋体" w:eastAsia="宋体" w:cs="宋体"/>
                <w:sz w:val="24"/>
                <w:szCs w:val="24"/>
                <w:lang w:eastAsia="zh-CN"/>
              </w:rPr>
              <w:t>一般</w:t>
            </w:r>
            <w:r>
              <w:rPr>
                <w:rFonts w:hint="eastAsia" w:ascii="宋体" w:hAnsi="宋体" w:eastAsia="宋体" w:cs="宋体"/>
                <w:sz w:val="24"/>
                <w:szCs w:val="24"/>
              </w:rPr>
              <w:t>、难点问题分析及解决方法简单的得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color w:val="000000"/>
                <w:sz w:val="24"/>
                <w:szCs w:val="24"/>
              </w:rPr>
              <w:t>定期保养及安全保证方案</w:t>
            </w:r>
          </w:p>
        </w:tc>
        <w:tc>
          <w:tcPr>
            <w:tcW w:w="9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根据供应商提供的方案（包括从</w:t>
            </w:r>
            <w:r>
              <w:rPr>
                <w:rFonts w:hint="eastAsia" w:ascii="宋体" w:hAnsi="宋体" w:eastAsia="宋体" w:cs="宋体"/>
                <w:color w:val="000000"/>
                <w:sz w:val="24"/>
                <w:szCs w:val="24"/>
              </w:rPr>
              <w:t>日常保养工作的计划方案、人员组织安排、材料器具配置、安全保证措施方案等</w:t>
            </w:r>
            <w:r>
              <w:rPr>
                <w:rFonts w:hint="eastAsia" w:ascii="宋体" w:hAnsi="宋体" w:eastAsia="宋体" w:cs="宋体"/>
                <w:sz w:val="24"/>
                <w:szCs w:val="24"/>
              </w:rPr>
              <w:t>）进行综合比较，满分1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项目方案科学合理、考虑周全、操作性强、规范高效的得1</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项目方案比较合理、操作性较强、考虑较周全的得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项目方案一般</w:t>
            </w:r>
            <w:r>
              <w:rPr>
                <w:rFonts w:hint="eastAsia" w:ascii="宋体" w:hAnsi="宋体" w:eastAsia="宋体" w:cs="宋体"/>
                <w:sz w:val="24"/>
                <w:szCs w:val="24"/>
                <w:lang w:eastAsia="zh-CN"/>
              </w:rPr>
              <w:t>、</w:t>
            </w:r>
            <w:r>
              <w:rPr>
                <w:rFonts w:hint="eastAsia" w:ascii="宋体" w:hAnsi="宋体" w:eastAsia="宋体" w:cs="宋体"/>
                <w:sz w:val="24"/>
                <w:szCs w:val="24"/>
              </w:rPr>
              <w:t>操作性不强的得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27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应急响应</w:t>
            </w:r>
          </w:p>
        </w:tc>
        <w:tc>
          <w:tcPr>
            <w:tcW w:w="9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135" w:type="dxa"/>
          </w:tcPr>
          <w:p>
            <w:pPr>
              <w:pStyle w:val="14"/>
              <w:keepNext w:val="0"/>
              <w:keepLines w:val="0"/>
              <w:pageBreakBefore w:val="0"/>
              <w:widowControl w:val="0"/>
              <w:numPr>
                <w:ilvl w:val="0"/>
                <w:numId w:val="0"/>
              </w:numPr>
              <w:tabs>
                <w:tab w:val="left" w:pos="2610"/>
              </w:tabs>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供应商须提供24小时的应急响应服务，能在接到故障或事故报警后30分钟内（驻点服务10分钟）到达现场，并能提供正常连续的服务直至故障或事故排除。对电梯困人事故要求在到达现场后15分钟内把乘客从轿厢中救出</w:t>
            </w:r>
            <w:r>
              <w:rPr>
                <w:rFonts w:hint="eastAsia" w:ascii="宋体" w:hAnsi="宋体" w:eastAsia="宋体" w:cs="宋体"/>
                <w:sz w:val="24"/>
                <w:szCs w:val="24"/>
                <w:lang w:eastAsia="zh-CN"/>
              </w:rPr>
              <w:t>；</w:t>
            </w:r>
            <w:r>
              <w:rPr>
                <w:rFonts w:hint="eastAsia" w:ascii="宋体" w:hAnsi="宋体" w:eastAsia="宋体" w:cs="宋体"/>
                <w:sz w:val="24"/>
                <w:szCs w:val="24"/>
              </w:rPr>
              <w:t>对非电子板原因的常见故障要求在60分钟内排除</w:t>
            </w:r>
            <w:r>
              <w:rPr>
                <w:rFonts w:hint="eastAsia" w:ascii="宋体" w:hAnsi="宋体" w:eastAsia="宋体" w:cs="宋体"/>
                <w:sz w:val="24"/>
                <w:szCs w:val="24"/>
                <w:lang w:eastAsia="zh-CN"/>
              </w:rPr>
              <w:t>；</w:t>
            </w:r>
            <w:r>
              <w:rPr>
                <w:rFonts w:hint="eastAsia" w:ascii="宋体" w:hAnsi="宋体" w:eastAsia="宋体" w:cs="宋体"/>
                <w:sz w:val="24"/>
                <w:szCs w:val="24"/>
              </w:rPr>
              <w:t>对电子板原因的故障应在普遍认可的合理时间内解决。</w:t>
            </w:r>
          </w:p>
          <w:p>
            <w:pPr>
              <w:pStyle w:val="14"/>
              <w:keepNext w:val="0"/>
              <w:keepLines w:val="0"/>
              <w:pageBreakBefore w:val="0"/>
              <w:widowControl w:val="0"/>
              <w:numPr>
                <w:ilvl w:val="0"/>
                <w:numId w:val="0"/>
              </w:numPr>
              <w:tabs>
                <w:tab w:val="left" w:pos="2610"/>
              </w:tabs>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sz w:val="24"/>
                <w:szCs w:val="24"/>
              </w:rPr>
              <w:t>能满足上述应急响应要求的得10分，不满足的</w:t>
            </w:r>
            <w:r>
              <w:rPr>
                <w:rFonts w:hint="eastAsia" w:ascii="宋体" w:hAnsi="宋体" w:eastAsia="宋体" w:cs="宋体"/>
                <w:sz w:val="24"/>
                <w:szCs w:val="24"/>
                <w:lang w:eastAsia="zh-CN"/>
              </w:rPr>
              <w:t>不得分</w:t>
            </w:r>
            <w:r>
              <w:rPr>
                <w:rFonts w:hint="eastAsia" w:ascii="宋体" w:hAnsi="宋体" w:eastAsia="宋体" w:cs="宋体"/>
                <w:sz w:val="24"/>
                <w:szCs w:val="24"/>
              </w:rPr>
              <w:t>。（</w:t>
            </w:r>
            <w:r>
              <w:rPr>
                <w:rFonts w:hint="eastAsia" w:ascii="宋体" w:hAnsi="宋体" w:eastAsia="宋体" w:cs="宋体"/>
                <w:sz w:val="24"/>
                <w:szCs w:val="24"/>
                <w:lang w:eastAsia="zh-CN"/>
              </w:rPr>
              <w:t>响应</w:t>
            </w:r>
            <w:r>
              <w:rPr>
                <w:rFonts w:hint="eastAsia" w:ascii="宋体" w:hAnsi="宋体" w:eastAsia="宋体" w:cs="宋体"/>
                <w:sz w:val="24"/>
                <w:szCs w:val="24"/>
              </w:rPr>
              <w:t>供应商提供承诺函</w:t>
            </w:r>
            <w:r>
              <w:rPr>
                <w:rFonts w:hint="eastAsia" w:ascii="宋体" w:hAnsi="宋体" w:eastAsia="宋体" w:cs="宋体"/>
                <w:sz w:val="24"/>
                <w:szCs w:val="24"/>
                <w:lang w:eastAsia="zh-CN"/>
              </w:rPr>
              <w:t>，</w:t>
            </w:r>
            <w:r>
              <w:rPr>
                <w:rFonts w:hint="eastAsia" w:ascii="宋体" w:hAnsi="宋体" w:eastAsia="宋体" w:cs="宋体"/>
                <w:sz w:val="24"/>
                <w:szCs w:val="24"/>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27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维保业绩</w:t>
            </w:r>
          </w:p>
        </w:tc>
        <w:tc>
          <w:tcPr>
            <w:tcW w:w="950" w:type="dxa"/>
            <w:vAlign w:val="center"/>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135" w:type="dxa"/>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响应</w:t>
            </w:r>
            <w:r>
              <w:rPr>
                <w:rFonts w:hint="eastAsia" w:ascii="宋体" w:hAnsi="宋体" w:eastAsia="宋体" w:cs="宋体"/>
                <w:color w:val="000000"/>
                <w:sz w:val="24"/>
                <w:szCs w:val="24"/>
              </w:rPr>
              <w:t>人</w:t>
            </w:r>
            <w:r>
              <w:rPr>
                <w:rFonts w:hint="eastAsia" w:ascii="宋体" w:hAnsi="宋体" w:eastAsia="宋体" w:cs="宋体"/>
                <w:sz w:val="24"/>
                <w:szCs w:val="24"/>
              </w:rPr>
              <w:t>提供</w:t>
            </w:r>
            <w:r>
              <w:rPr>
                <w:rFonts w:hint="eastAsia" w:ascii="宋体" w:hAnsi="宋体" w:eastAsia="宋体" w:cs="宋体"/>
                <w:sz w:val="24"/>
                <w:szCs w:val="24"/>
                <w:lang w:eastAsia="zh-CN"/>
              </w:rPr>
              <w:t>自</w:t>
            </w: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年</w:t>
            </w:r>
            <w:r>
              <w:rPr>
                <w:rFonts w:hint="eastAsia" w:ascii="宋体" w:hAnsi="宋体" w:eastAsia="宋体" w:cs="宋体"/>
                <w:color w:val="000000"/>
                <w:sz w:val="24"/>
                <w:szCs w:val="24"/>
                <w:lang w:eastAsia="zh-CN"/>
              </w:rPr>
              <w:t>以来</w:t>
            </w:r>
            <w:r>
              <w:rPr>
                <w:rFonts w:hint="eastAsia" w:ascii="宋体" w:hAnsi="宋体" w:eastAsia="宋体" w:cs="宋体"/>
                <w:color w:val="000000"/>
                <w:sz w:val="24"/>
                <w:szCs w:val="24"/>
                <w:lang w:val="en-US" w:eastAsia="zh-CN"/>
              </w:rPr>
              <w:t>类似</w:t>
            </w:r>
            <w:r>
              <w:rPr>
                <w:rFonts w:hint="eastAsia" w:ascii="宋体" w:hAnsi="宋体" w:eastAsia="宋体" w:cs="宋体"/>
                <w:color w:val="000000"/>
                <w:sz w:val="24"/>
                <w:szCs w:val="24"/>
              </w:rPr>
              <w:t>公共建筑（不含住宅、厂房）电梯维保，</w:t>
            </w:r>
            <w:r>
              <w:rPr>
                <w:rFonts w:hint="eastAsia" w:ascii="宋体" w:hAnsi="宋体" w:eastAsia="宋体" w:cs="宋体"/>
                <w:sz w:val="24"/>
                <w:szCs w:val="24"/>
              </w:rPr>
              <w:t>每提供</w:t>
            </w:r>
            <w:r>
              <w:rPr>
                <w:rFonts w:hint="eastAsia" w:ascii="宋体" w:hAnsi="宋体" w:eastAsia="宋体" w:cs="宋体"/>
                <w:sz w:val="24"/>
                <w:szCs w:val="24"/>
                <w:lang w:val="en-US" w:eastAsia="zh-CN"/>
              </w:rPr>
              <w:t>1</w:t>
            </w:r>
            <w:r>
              <w:rPr>
                <w:rFonts w:hint="eastAsia" w:ascii="宋体" w:hAnsi="宋体" w:eastAsia="宋体" w:cs="宋体"/>
                <w:sz w:val="24"/>
                <w:szCs w:val="24"/>
              </w:rPr>
              <w:t>份得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，最多得</w:t>
            </w:r>
            <w:r>
              <w:rPr>
                <w:rFonts w:hint="eastAsia" w:ascii="宋体" w:hAnsi="宋体" w:eastAsia="宋体" w:cs="宋体"/>
                <w:sz w:val="24"/>
                <w:szCs w:val="24"/>
                <w:lang w:val="en-US" w:eastAsia="zh-CN"/>
              </w:rPr>
              <w:t>10分。</w:t>
            </w:r>
          </w:p>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rPr>
                <w:rFonts w:hint="eastAsia" w:ascii="宋体" w:hAnsi="宋体" w:eastAsia="宋体" w:cs="宋体"/>
                <w:sz w:val="24"/>
                <w:szCs w:val="24"/>
              </w:rPr>
            </w:pPr>
            <w:r>
              <w:rPr>
                <w:rFonts w:hint="eastAsia" w:ascii="宋体" w:hAnsi="宋体" w:eastAsia="宋体" w:cs="宋体"/>
                <w:color w:val="000000"/>
                <w:sz w:val="24"/>
                <w:szCs w:val="24"/>
              </w:rPr>
              <w:t>提供合同复印件加盖</w:t>
            </w:r>
            <w:r>
              <w:rPr>
                <w:rFonts w:hint="eastAsia" w:ascii="宋体" w:hAnsi="宋体" w:eastAsia="宋体" w:cs="宋体"/>
                <w:sz w:val="24"/>
                <w:szCs w:val="24"/>
                <w:lang w:eastAsia="zh-CN"/>
              </w:rPr>
              <w:t>响应</w:t>
            </w:r>
            <w:r>
              <w:rPr>
                <w:rFonts w:hint="eastAsia" w:ascii="宋体" w:hAnsi="宋体" w:eastAsia="宋体" w:cs="宋体"/>
                <w:color w:val="000000"/>
                <w:sz w:val="24"/>
                <w:szCs w:val="24"/>
              </w:rPr>
              <w:t>人公章</w:t>
            </w:r>
            <w:r>
              <w:rPr>
                <w:rFonts w:hint="eastAsia" w:ascii="宋体" w:hAnsi="宋体" w:eastAsia="宋体" w:cs="宋体"/>
                <w:color w:val="000000"/>
                <w:sz w:val="24"/>
                <w:szCs w:val="24"/>
                <w:lang w:eastAsia="zh-CN"/>
              </w:rPr>
              <w:t>，同一服务单位有多项服务合同的，仅计1份业绩。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0" w:type="dxa"/>
            <w:gridSpan w:val="2"/>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合计</w:t>
            </w:r>
          </w:p>
        </w:tc>
        <w:tc>
          <w:tcPr>
            <w:tcW w:w="950" w:type="dxa"/>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0</w:t>
            </w:r>
            <w:r>
              <w:rPr>
                <w:rFonts w:hint="eastAsia" w:ascii="宋体" w:hAnsi="宋体" w:eastAsia="宋体" w:cs="宋体"/>
                <w:b/>
                <w:bCs/>
                <w:sz w:val="24"/>
                <w:szCs w:val="24"/>
                <w:lang w:eastAsia="zh-CN"/>
              </w:rPr>
              <w:t>分</w:t>
            </w:r>
          </w:p>
        </w:tc>
        <w:tc>
          <w:tcPr>
            <w:tcW w:w="6135" w:type="dxa"/>
          </w:tcPr>
          <w:p>
            <w:pPr>
              <w:pStyle w:val="14"/>
              <w:keepNext w:val="0"/>
              <w:keepLines w:val="0"/>
              <w:pageBreakBefore w:val="0"/>
              <w:widowControl w:val="0"/>
              <w:tabs>
                <w:tab w:val="left" w:pos="2610"/>
              </w:tabs>
              <w:kinsoku/>
              <w:wordWrap/>
              <w:overflowPunct/>
              <w:topLinePunct w:val="0"/>
              <w:autoSpaceDE/>
              <w:autoSpaceDN/>
              <w:bidi w:val="0"/>
              <w:adjustRightInd/>
              <w:snapToGrid/>
              <w:spacing w:line="360" w:lineRule="auto"/>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1、</w:t>
      </w:r>
      <w:r>
        <w:rPr>
          <w:rFonts w:hint="eastAsia" w:ascii="Times New Roman" w:hAnsi="Times New Roman" w:eastAsia="宋体" w:cs="宋体"/>
          <w:sz w:val="24"/>
          <w:szCs w:val="24"/>
        </w:rPr>
        <w:t>评委依据磋商文件载明的方法评分，评分四舍五入精确到小数点后两位。</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hint="eastAsia" w:ascii="Times New Roman" w:hAnsi="Times New Roman" w:eastAsia="宋体" w:cs="宋体"/>
          <w:sz w:val="24"/>
          <w:szCs w:val="24"/>
        </w:rPr>
        <w:t>响应供应商按照</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评分标准表</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中的打分要求及顺序提供相关材料，</w:t>
      </w:r>
      <w:r>
        <w:rPr>
          <w:rFonts w:hint="eastAsia" w:ascii="Times New Roman" w:hAnsi="Times New Roman" w:eastAsia="宋体" w:cs="宋体"/>
          <w:bCs/>
          <w:color w:val="000000"/>
          <w:kern w:val="0"/>
          <w:sz w:val="24"/>
          <w:szCs w:val="24"/>
        </w:rPr>
        <w:t>并请编制目录及页码，以最大限度的避免造成评委误判或漏判。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bCs/>
          <w:color w:val="000000"/>
          <w:kern w:val="0"/>
          <w:sz w:val="24"/>
          <w:szCs w:val="24"/>
          <w:lang w:val="en-US" w:eastAsia="zh-CN"/>
        </w:rPr>
        <w:t>3</w:t>
      </w:r>
      <w:r>
        <w:rPr>
          <w:rFonts w:hint="eastAsia" w:ascii="Times New Roman" w:hAnsi="Times New Roman" w:eastAsia="宋体" w:cs="宋体"/>
          <w:bCs/>
          <w:color w:val="000000"/>
          <w:kern w:val="0"/>
          <w:sz w:val="24"/>
          <w:szCs w:val="24"/>
          <w:lang w:eastAsia="zh-CN"/>
        </w:rPr>
        <w:t>、</w:t>
      </w:r>
      <w:r>
        <w:rPr>
          <w:rFonts w:hint="eastAsia" w:ascii="Times New Roman" w:hAnsi="Times New Roman" w:eastAsia="宋体" w:cs="宋体"/>
          <w:b/>
          <w:sz w:val="24"/>
          <w:szCs w:val="24"/>
        </w:rPr>
        <w:t>以上证明材料提供原件复印件，复印件不清晰或关键内容无法辨识所引起的后果由响应供应商自行承担。</w:t>
      </w:r>
    </w:p>
    <w:p>
      <w:pPr>
        <w:pStyle w:val="1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（二）</w:t>
      </w:r>
      <w:r>
        <w:rPr>
          <w:rFonts w:hint="eastAsia" w:ascii="Times New Roman" w:hAnsi="Times New Roman" w:eastAsia="宋体" w:cs="宋体"/>
          <w:b/>
          <w:bCs/>
          <w:szCs w:val="24"/>
          <w:shd w:val="clear" w:color="auto" w:fill="FFFFFF"/>
          <w:lang w:val="zh-CN"/>
        </w:rPr>
        <w:t>价格分</w:t>
      </w:r>
      <w:r>
        <w:rPr>
          <w:rFonts w:hint="eastAsia" w:ascii="Times New Roman" w:hAnsi="Times New Roman" w:eastAsia="宋体" w:cs="宋体"/>
          <w:b/>
          <w:bCs/>
          <w:szCs w:val="24"/>
          <w:shd w:val="clear" w:color="auto" w:fill="FFFFFF"/>
        </w:rPr>
        <w:t>：</w:t>
      </w:r>
      <w:r>
        <w:rPr>
          <w:rFonts w:hint="eastAsia" w:ascii="Times New Roman" w:hAnsi="Times New Roman" w:eastAsia="宋体" w:cs="宋体"/>
          <w:b/>
          <w:bCs/>
          <w:szCs w:val="24"/>
          <w:shd w:val="clear" w:color="auto" w:fill="FFFFFF"/>
          <w:lang w:val="en-US" w:eastAsia="zh-CN"/>
        </w:rPr>
        <w:t>10</w:t>
      </w:r>
      <w:r>
        <w:rPr>
          <w:rFonts w:hint="eastAsia" w:ascii="Times New Roman" w:hAnsi="Times New Roman" w:eastAsia="宋体" w:cs="宋体"/>
          <w:b/>
          <w:bCs/>
          <w:szCs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w:t>
      </w:r>
      <w:r>
        <w:rPr>
          <w:rFonts w:hint="eastAsia" w:ascii="Times New Roman" w:hAnsi="Times New Roman" w:eastAsia="宋体" w:cs="宋体"/>
          <w:sz w:val="24"/>
          <w:szCs w:val="24"/>
          <w:lang w:val="en-US" w:eastAsia="zh-CN"/>
        </w:rPr>
        <w:t>10</w:t>
      </w:r>
      <w:r>
        <w:rPr>
          <w:rFonts w:hint="eastAsia" w:ascii="Times New Roman" w:hAnsi="Times New Roman" w:eastAsia="宋体" w:cs="宋体"/>
          <w:sz w:val="24"/>
          <w:szCs w:val="24"/>
        </w:rPr>
        <w:t>%×100。</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如评标委员会认为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价格严重偏离市场价，将取消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人价格分得分。</w:t>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五、出现下列情形之一的，作无效标处理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9</w:t>
      </w:r>
      <w:r>
        <w:rPr>
          <w:rFonts w:hint="eastAsia" w:ascii="Times New Roman" w:hAnsi="Times New Roman" w:eastAsia="宋体" w:cs="宋体"/>
          <w:sz w:val="24"/>
          <w:szCs w:val="24"/>
        </w:rPr>
        <w:t>、不符合法律、法规和磋商文件中规定的其他实质性响应要求的；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10</w:t>
      </w:r>
      <w:r>
        <w:rPr>
          <w:rFonts w:hint="eastAsia" w:ascii="Times New Roman" w:hAnsi="Times New Roman" w:eastAsia="宋体" w:cs="宋体"/>
          <w:sz w:val="24"/>
          <w:szCs w:val="24"/>
        </w:rPr>
        <w:t>、磋商小组依据法律法规可以认定为无效投标的其他情况；</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lang w:val="en-US" w:eastAsia="zh-CN"/>
        </w:rPr>
        <w:t>11</w:t>
      </w:r>
      <w:r>
        <w:rPr>
          <w:rFonts w:hint="eastAsia" w:ascii="Times New Roman" w:hAnsi="Times New Roman" w:eastAsia="宋体" w:cs="宋体"/>
          <w:sz w:val="24"/>
          <w:szCs w:val="24"/>
        </w:rPr>
        <w:t>、未按要求提供样品的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六、出现下列情形之一的，作废标处理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9"/>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szCs w:val="24"/>
          <w:shd w:val="clear" w:color="auto" w:fill="FFFFFF"/>
        </w:rPr>
      </w:pPr>
      <w:r>
        <w:rPr>
          <w:rFonts w:hint="eastAsia" w:ascii="Times New Roman" w:hAnsi="Times New Roman" w:eastAsia="宋体" w:cs="宋体"/>
          <w:b/>
          <w:bCs/>
          <w:szCs w:val="24"/>
          <w:shd w:val="clear" w:color="auto" w:fill="FFFFFF"/>
        </w:rPr>
        <w:t>七、成交通知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w w:val="80"/>
          <w:kern w:val="44"/>
          <w:sz w:val="48"/>
          <w:szCs w:val="4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rPr>
          <w:rFonts w:hint="eastAsia" w:ascii="Times New Roman" w:hAnsi="Times New Roman" w:eastAsia="宋体" w:cs="宋体"/>
          <w:w w:val="80"/>
          <w:sz w:val="48"/>
          <w:szCs w:val="44"/>
        </w:rPr>
      </w:pPr>
      <w:r>
        <w:rPr>
          <w:rFonts w:hint="eastAsia" w:ascii="Times New Roman" w:hAnsi="Times New Roman" w:eastAsia="宋体" w:cs="宋体"/>
          <w:w w:val="80"/>
          <w:sz w:val="48"/>
          <w:szCs w:val="44"/>
        </w:rPr>
        <w:br w:type="page"/>
      </w:r>
    </w:p>
    <w:p>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kern w:val="0"/>
          <w:sz w:val="24"/>
          <w:lang w:eastAsia="zh-CN"/>
        </w:rPr>
        <w:t>后</w:t>
      </w:r>
      <w:r>
        <w:rPr>
          <w:rFonts w:hint="eastAsia" w:ascii="Times New Roman" w:hAnsi="Times New Roman" w:eastAsia="宋体" w:cs="宋体"/>
          <w:b w:val="0"/>
          <w:bCs w:val="0"/>
          <w:color w:val="auto"/>
          <w:kern w:val="0"/>
          <w:sz w:val="24"/>
          <w:lang w:val="en-US" w:eastAsia="zh-CN"/>
        </w:rPr>
        <w:t>15个工作日</w:t>
      </w:r>
      <w:r>
        <w:rPr>
          <w:rFonts w:hint="eastAsia" w:ascii="Times New Roman" w:hAnsi="Times New Roman" w:eastAsia="宋体" w:cs="宋体"/>
          <w:b w:val="0"/>
          <w:bCs w:val="0"/>
          <w:color w:val="auto"/>
          <w:kern w:val="0"/>
          <w:sz w:val="24"/>
        </w:rPr>
        <w:t>内</w:t>
      </w:r>
      <w:r>
        <w:rPr>
          <w:rFonts w:hint="eastAsia" w:ascii="Times New Roman" w:hAnsi="Times New Roman" w:eastAsia="宋体" w:cs="宋体"/>
          <w:b w:val="0"/>
          <w:bCs w:val="0"/>
          <w:kern w:val="0"/>
          <w:sz w:val="24"/>
        </w:rPr>
        <w:t>须按</w:t>
      </w:r>
      <w:r>
        <w:rPr>
          <w:rFonts w:hint="eastAsia" w:ascii="Times New Roman" w:hAnsi="Times New Roman" w:eastAsia="宋体" w:cs="宋体"/>
          <w:kern w:val="0"/>
          <w:sz w:val="24"/>
        </w:rPr>
        <w:t>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w:t>
      </w:r>
      <w:r>
        <w:rPr>
          <w:rFonts w:hint="eastAsia" w:ascii="Times New Roman" w:hAnsi="Times New Roman" w:eastAsia="宋体" w:cs="宋体"/>
          <w:sz w:val="24"/>
        </w:rPr>
        <w:t>采购单位按合同约定积极配合成交供应商履约，成交供应商履约到位后，请以书面形式向采购单位提出验收申请。</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pPr>
        <w:keepNext w:val="0"/>
        <w:keepLines w:val="0"/>
        <w:pageBreakBefore w:val="0"/>
        <w:widowControl w:val="0"/>
        <w:kinsoku/>
        <w:wordWrap/>
        <w:topLinePunct w:val="0"/>
        <w:autoSpaceDE/>
        <w:autoSpaceDN/>
        <w:bidi w:val="0"/>
        <w:spacing w:line="360" w:lineRule="auto"/>
        <w:rPr>
          <w:rFonts w:ascii="Times New Roman" w:hAnsi="Times New Roman" w:eastAsia="宋体"/>
          <w:w w:val="80"/>
          <w:kern w:val="44"/>
        </w:rPr>
      </w:pP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投标供应商须知</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谁主张，谁举证</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实事求是</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t>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w:t>
      </w:r>
      <w:r>
        <w:rPr>
          <w:rFonts w:hint="eastAsia" w:ascii="Times New Roman" w:hAnsi="Times New Roman"/>
          <w:sz w:val="24"/>
          <w:szCs w:val="24"/>
        </w:rPr>
        <w:t>供应商具有独立承担民事责任的能力，提供法人或者其他组织的营业执照等证明文件</w:t>
      </w:r>
      <w:r>
        <w:rPr>
          <w:rFonts w:hint="eastAsia" w:ascii="Times New Roman" w:hAnsi="Times New Roman" w:eastAsia="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的，必须提供法定代表人身份证明及法定代表人本人身份证两项复印件（须加盖单位公章）；非法定代表人参加</w:t>
      </w:r>
      <w:r>
        <w:rPr>
          <w:rFonts w:hint="eastAsia" w:ascii="Times New Roman" w:hAnsi="Times New Roman" w:eastAsia="宋体"/>
          <w:sz w:val="24"/>
          <w:szCs w:val="24"/>
          <w:lang w:eastAsia="zh-CN"/>
        </w:rPr>
        <w:t>磋商</w:t>
      </w:r>
      <w:r>
        <w:rPr>
          <w:rFonts w:hint="eastAsia" w:ascii="Times New Roman" w:hAnsi="Times New Roman" w:eastAsia="宋体"/>
          <w:sz w:val="24"/>
          <w:szCs w:val="24"/>
        </w:rPr>
        <w:t>的，必须提供法定代表人签字或印章的授权委托书及被授权人本人身份证两项复印件；（须加盖单位公章）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pPr>
        <w:spacing w:line="360" w:lineRule="auto"/>
        <w:ind w:firstLine="480" w:firstLineChars="200"/>
        <w:textAlignment w:val="baseline"/>
        <w:rPr>
          <w:rFonts w:ascii="Times New Roman" w:hAnsi="Times New Roman"/>
          <w:sz w:val="24"/>
          <w:szCs w:val="24"/>
        </w:rPr>
      </w:pPr>
      <w:r>
        <w:rPr>
          <w:rFonts w:hint="eastAsia" w:ascii="Times New Roman" w:hAnsi="Times New Roman"/>
          <w:sz w:val="24"/>
          <w:szCs w:val="24"/>
        </w:rPr>
        <w:t>4、供应商须提供诚信承诺书（</w:t>
      </w:r>
      <w:r>
        <w:rPr>
          <w:rFonts w:hint="eastAsia" w:ascii="Times New Roman" w:hAnsi="Times New Roman" w:cs="宋体"/>
          <w:sz w:val="24"/>
          <w:szCs w:val="24"/>
        </w:rPr>
        <w:t>格式参见附件）；</w:t>
      </w:r>
    </w:p>
    <w:p>
      <w:pPr>
        <w:spacing w:line="360" w:lineRule="auto"/>
        <w:ind w:firstLine="480" w:firstLineChars="200"/>
        <w:rPr>
          <w:rFonts w:hint="eastAsia" w:ascii="Times New Roman" w:hAnsi="Times New Roman"/>
          <w:sz w:val="24"/>
          <w:szCs w:val="24"/>
        </w:rPr>
      </w:pPr>
      <w:r>
        <w:rPr>
          <w:rFonts w:hint="eastAsia" w:ascii="Times New Roman" w:hAnsi="Times New Roman"/>
          <w:sz w:val="24"/>
          <w:szCs w:val="24"/>
        </w:rPr>
        <w:t>5、供应商须提供《中华人民共和国特种设备安装、改造、维修许可证》可乘客电梯、自动扶梯B级及以上资质。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lang w:val="en-US" w:eastAsia="zh-CN"/>
        </w:rPr>
        <w:t>6</w:t>
      </w:r>
      <w:r>
        <w:rPr>
          <w:rFonts w:hint="eastAsia" w:ascii="Times New Roman" w:hAnsi="Times New Roman" w:eastAsia="宋体"/>
          <w:sz w:val="24"/>
          <w:szCs w:val="24"/>
        </w:rPr>
        <w:t>、其它需要提交的资格审查证明材料。</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以上材料如为复印件均需加盖投标单位公章。</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highlight w:val="none"/>
        </w:rPr>
        <w:t>二、技术响</w:t>
      </w:r>
      <w:r>
        <w:rPr>
          <w:rFonts w:hint="eastAsia" w:ascii="Times New Roman" w:hAnsi="Times New Roman" w:eastAsia="宋体"/>
          <w:b/>
          <w:bCs/>
          <w:sz w:val="24"/>
          <w:szCs w:val="24"/>
        </w:rPr>
        <w:t>应文件（单独密封）：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bCs/>
          <w:sz w:val="24"/>
          <w:szCs w:val="24"/>
        </w:rPr>
        <w:t>1、</w:t>
      </w:r>
      <w:r>
        <w:rPr>
          <w:rFonts w:hint="eastAsia" w:ascii="Times New Roman" w:hAnsi="Times New Roman" w:eastAsia="宋体" w:cs="宋体"/>
          <w:sz w:val="24"/>
          <w:szCs w:val="24"/>
        </w:rPr>
        <w:t>磋商</w:t>
      </w:r>
      <w:r>
        <w:rPr>
          <w:rFonts w:ascii="Times New Roman" w:hAnsi="Times New Roman" w:eastAsia="宋体" w:cs="宋体"/>
          <w:sz w:val="24"/>
          <w:szCs w:val="24"/>
        </w:rPr>
        <w:t>响应函（格式参见第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2、供应商一般情况表</w:t>
      </w:r>
      <w:r>
        <w:rPr>
          <w:rFonts w:ascii="Times New Roman" w:hAnsi="Times New Roman" w:eastAsia="宋体" w:cs="宋体"/>
          <w:sz w:val="24"/>
          <w:szCs w:val="24"/>
        </w:rPr>
        <w:t>（格式参见第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3、</w:t>
      </w:r>
      <w:r>
        <w:rPr>
          <w:rFonts w:hint="eastAsia" w:ascii="Times New Roman" w:hAnsi="Times New Roman" w:eastAsia="宋体" w:cs="宋体"/>
          <w:bCs/>
          <w:sz w:val="24"/>
          <w:szCs w:val="24"/>
        </w:rPr>
        <w:t>技术</w:t>
      </w:r>
      <w:r>
        <w:rPr>
          <w:rFonts w:hint="eastAsia" w:ascii="Times New Roman" w:hAnsi="Times New Roman" w:eastAsia="宋体" w:cs="宋体"/>
          <w:bCs/>
          <w:sz w:val="24"/>
          <w:szCs w:val="24"/>
          <w:lang w:eastAsia="zh-CN"/>
        </w:rPr>
        <w:t>商务</w:t>
      </w:r>
      <w:r>
        <w:rPr>
          <w:rFonts w:hint="eastAsia" w:ascii="Times New Roman" w:hAnsi="Times New Roman" w:eastAsia="宋体" w:cs="宋体"/>
          <w:bCs/>
          <w:sz w:val="24"/>
          <w:szCs w:val="24"/>
        </w:rPr>
        <w:t>条款响应正负偏离表（</w:t>
      </w:r>
      <w:r>
        <w:rPr>
          <w:rFonts w:ascii="Times New Roman" w:hAnsi="Times New Roman" w:eastAsia="宋体" w:cs="宋体"/>
          <w:sz w:val="24"/>
          <w:szCs w:val="24"/>
        </w:rPr>
        <w:t>格式参见第</w:t>
      </w:r>
      <w:r>
        <w:rPr>
          <w:rFonts w:hint="eastAsia" w:ascii="Times New Roman" w:hAnsi="Times New Roman" w:eastAsia="宋体" w:cs="宋体"/>
          <w:sz w:val="24"/>
          <w:szCs w:val="24"/>
          <w:lang w:eastAsia="zh-CN"/>
        </w:rPr>
        <w:t>七</w:t>
      </w:r>
      <w:r>
        <w:rPr>
          <w:rFonts w:ascii="Times New Roman" w:hAnsi="Times New Roman" w:eastAsia="宋体" w:cs="宋体"/>
          <w:sz w:val="24"/>
          <w:szCs w:val="24"/>
        </w:rPr>
        <w:t>章</w:t>
      </w:r>
      <w:r>
        <w:rPr>
          <w:rFonts w:hint="eastAsia" w:ascii="Times New Roman" w:hAnsi="Times New Roman" w:eastAsia="宋体" w:cs="宋体"/>
          <w:bCs/>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4、</w:t>
      </w:r>
      <w:r>
        <w:rPr>
          <w:rFonts w:hint="eastAsia" w:ascii="Times New Roman" w:hAnsi="Times New Roman" w:eastAsia="宋体" w:cs="宋体"/>
          <w:bCs/>
          <w:sz w:val="24"/>
          <w:szCs w:val="24"/>
        </w:rPr>
        <w:t>磋商文件中评分标准所涉及的事项需提供的所有资料；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lang w:val="en-US" w:eastAsia="zh-CN"/>
        </w:rPr>
        <w:t>5</w:t>
      </w:r>
      <w:r>
        <w:rPr>
          <w:rFonts w:hint="eastAsia" w:ascii="Times New Roman" w:hAnsi="Times New Roman" w:eastAsia="宋体" w:cs="宋体"/>
          <w:bCs/>
          <w:sz w:val="24"/>
          <w:szCs w:val="24"/>
        </w:rPr>
        <w:t>、磋商文件中未涉及的事项，</w:t>
      </w:r>
      <w:r>
        <w:rPr>
          <w:rFonts w:hint="eastAsia" w:ascii="Times New Roman" w:hAnsi="Times New Roman" w:eastAsia="宋体" w:cs="宋体"/>
          <w:bCs/>
          <w:sz w:val="24"/>
          <w:szCs w:val="24"/>
          <w:lang w:eastAsia="zh-CN"/>
        </w:rPr>
        <w:t>响应</w:t>
      </w:r>
      <w:r>
        <w:rPr>
          <w:rFonts w:hint="eastAsia" w:ascii="Times New Roman" w:hAnsi="Times New Roman" w:eastAsia="宋体" w:cs="宋体"/>
          <w:bCs/>
          <w:sz w:val="24"/>
          <w:szCs w:val="24"/>
        </w:rPr>
        <w:t>供应商认为需要提交的其他资料。</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资格审查文件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技术响应文件</w:t>
      </w:r>
      <w:r>
        <w:rPr>
          <w:rFonts w:hint="eastAsia" w:ascii="Times New Roman" w:hAnsi="Times New Roman" w:eastAsia="宋体" w:cs="宋体"/>
          <w:b/>
          <w:bCs/>
          <w:sz w:val="24"/>
          <w:szCs w:val="24"/>
          <w:lang w:eastAsia="zh-CN"/>
        </w:rPr>
        <w:t>”</w:t>
      </w:r>
      <w:r>
        <w:rPr>
          <w:rFonts w:hint="eastAsia" w:ascii="Times New Roman" w:hAnsi="Times New Roman" w:eastAsia="宋体" w:cs="宋体"/>
          <w:b/>
          <w:bCs/>
          <w:sz w:val="24"/>
          <w:szCs w:val="24"/>
        </w:rPr>
        <w:t>所须提供的材料按磋商文件要求装订，密封，递交。</w:t>
      </w:r>
    </w:p>
    <w:p>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1、磋商响应报价表（格式参见附件）；</w:t>
      </w:r>
    </w:p>
    <w:p>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sz w:val="24"/>
          <w:szCs w:val="24"/>
          <w:lang w:val="en-US" w:eastAsia="zh-CN"/>
        </w:rPr>
      </w:pPr>
      <w:r>
        <w:rPr>
          <w:rFonts w:hint="eastAsia" w:ascii="Times New Roman" w:hAnsi="Times New Roman" w:eastAsia="宋体" w:cs="宋体"/>
          <w:bCs/>
          <w:sz w:val="24"/>
          <w:szCs w:val="24"/>
          <w:lang w:val="en-US" w:eastAsia="zh-CN"/>
        </w:rPr>
        <w:t>2、磋商响应报价明细表</w:t>
      </w:r>
      <w:r>
        <w:rPr>
          <w:rFonts w:hint="eastAsia" w:ascii="Times New Roman" w:hAnsi="Times New Roman" w:eastAsia="宋体" w:cs="宋体"/>
          <w:sz w:val="24"/>
          <w:szCs w:val="24"/>
        </w:rPr>
        <w:t>（格式参见附件）</w:t>
      </w:r>
      <w:r>
        <w:rPr>
          <w:rFonts w:hint="eastAsia" w:ascii="Times New Roman" w:hAnsi="Times New Roman" w:eastAsia="宋体" w:cs="宋体"/>
          <w:bCs/>
          <w:sz w:val="24"/>
          <w:szCs w:val="24"/>
          <w:lang w:val="en-US" w:eastAsia="zh-CN"/>
        </w:rPr>
        <w:t>；</w:t>
      </w:r>
    </w:p>
    <w:p>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sz w:val="24"/>
          <w:szCs w:val="24"/>
        </w:rPr>
      </w:pPr>
      <w:r>
        <w:rPr>
          <w:rFonts w:hint="eastAsia" w:ascii="Times New Roman" w:hAnsi="Times New Roman" w:eastAsia="宋体" w:cs="宋体"/>
          <w:sz w:val="24"/>
          <w:szCs w:val="24"/>
        </w:rPr>
        <w:br w:type="page"/>
      </w:r>
    </w:p>
    <w:p>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南通市第三人民医院电梯维护保养服务项目</w:t>
      </w:r>
      <w:r>
        <w:rPr>
          <w:rFonts w:hint="eastAsia" w:ascii="Times New Roman" w:hAnsi="Times New Roman" w:eastAsia="宋体" w:cs="宋体"/>
          <w:sz w:val="24"/>
          <w:szCs w:val="24"/>
        </w:rPr>
        <w:t>（竞争性磋商项目名称）项目的磋商活动，全权代表我公司处理该磋商活动的有关事宜。</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南通市第三人民医院电梯维护保养服务项目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sz w:val="24"/>
          <w:szCs w:val="21"/>
          <w:u w:val="single"/>
        </w:rPr>
      </w:pPr>
    </w:p>
    <w:p>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认定为200万元以上的罚款，法律、行政法规以及国务院有关部门明确规定相关领域</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较大数额罚款</w:t>
      </w:r>
      <w:r>
        <w:rPr>
          <w:rFonts w:hint="eastAsia" w:ascii="Times New Roman" w:hAnsi="Times New Roman" w:eastAsia="宋体" w:cs="Times New Roman"/>
          <w:sz w:val="24"/>
          <w:szCs w:val="21"/>
          <w:lang w:eastAsia="zh-CN"/>
        </w:rPr>
        <w:t>”</w:t>
      </w:r>
      <w:r>
        <w:rPr>
          <w:rFonts w:hint="eastAsia" w:ascii="Times New Roman" w:hAnsi="Times New Roman" w:eastAsia="宋体" w:cs="Times New Roman"/>
          <w:sz w:val="24"/>
          <w:szCs w:val="21"/>
        </w:rPr>
        <w:t>标准高于200万元的，从其规定。）</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0"/>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供应商：（加盖公章）</w:t>
      </w: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保证金、不良行为记录、限制其一定期限内投标资格等处罚。对造成的损失，任何法律和经济责任完全由我方负责。</w:t>
      </w:r>
    </w:p>
    <w:p>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sz w:val="28"/>
          <w:szCs w:val="28"/>
        </w:rPr>
      </w:pP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供应商：（加盖公章）</w:t>
      </w:r>
    </w:p>
    <w:p>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keepNext w:val="0"/>
        <w:keepLines w:val="0"/>
        <w:pageBreakBefore w:val="0"/>
        <w:widowControl w:val="0"/>
        <w:kinsoku/>
        <w:wordWrap/>
        <w:topLinePunct w:val="0"/>
        <w:autoSpaceDE/>
        <w:autoSpaceDN/>
        <w:bidi w:val="0"/>
        <w:spacing w:line="360" w:lineRule="auto"/>
        <w:jc w:val="left"/>
        <w:rPr>
          <w:rFonts w:hint="eastAsia" w:ascii="Times New Roman" w:hAnsi="Times New Roman" w:eastAsia="宋体"/>
        </w:rPr>
      </w:pPr>
      <w:r>
        <w:rPr>
          <w:rFonts w:ascii="Times New Roman" w:hAnsi="Times New Roman" w:eastAsia="宋体"/>
          <w:b/>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5</w:t>
      </w:r>
      <w:r>
        <w:rPr>
          <w:rFonts w:hint="eastAsia" w:ascii="Times New Roman" w:hAnsi="Times New Roman" w:eastAsia="宋体" w:cs="宋体"/>
          <w:b/>
          <w:bCs/>
          <w:sz w:val="24"/>
          <w:szCs w:val="24"/>
        </w:rPr>
        <w:t>、竞争性磋商响应函</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p>
    <w:p>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rPr>
          <w:rFonts w:hint="eastAsia" w:ascii="Times New Roman" w:hAnsi="Times New Roman" w:eastAsia="宋体"/>
          <w:b/>
          <w:sz w:val="24"/>
          <w:szCs w:val="24"/>
          <w:lang w:val="en-US" w:eastAsia="zh-CN"/>
        </w:rPr>
      </w:pPr>
    </w:p>
    <w:p>
      <w:pPr>
        <w:rPr>
          <w:rFonts w:hint="eastAsia" w:ascii="Times New Roman" w:hAnsi="Times New Roman" w:eastAsia="宋体"/>
          <w:b/>
          <w:sz w:val="24"/>
          <w:szCs w:val="24"/>
          <w:lang w:val="en-US" w:eastAsia="zh-CN"/>
        </w:rPr>
      </w:pPr>
      <w:r>
        <w:rPr>
          <w:rFonts w:hint="eastAsia" w:ascii="Times New Roman" w:hAnsi="Times New Roman" w:eastAsia="宋体"/>
          <w:b/>
          <w:sz w:val="24"/>
          <w:szCs w:val="24"/>
          <w:lang w:val="en-US" w:eastAsia="zh-CN"/>
        </w:rPr>
        <w:br w:type="page"/>
      </w:r>
    </w:p>
    <w:p>
      <w:pPr>
        <w:jc w:val="center"/>
        <w:rPr>
          <w:rFonts w:ascii="Times New Roman" w:hAnsi="Times New Roman" w:cs="宋体"/>
          <w:b/>
          <w:sz w:val="24"/>
          <w:szCs w:val="24"/>
        </w:rPr>
      </w:pPr>
      <w:r>
        <w:rPr>
          <w:rFonts w:hint="eastAsia" w:ascii="Times New Roman" w:hAnsi="Times New Roman"/>
          <w:b/>
          <w:sz w:val="24"/>
          <w:szCs w:val="24"/>
        </w:rPr>
        <w:t>6、</w:t>
      </w:r>
      <w:r>
        <w:rPr>
          <w:rFonts w:ascii="Times New Roman" w:hAnsi="Times New Roman"/>
          <w:b/>
          <w:bCs/>
          <w:sz w:val="24"/>
          <w:szCs w:val="24"/>
        </w:rPr>
        <w:t>供应商一般情况表</w:t>
      </w:r>
    </w:p>
    <w:tbl>
      <w:tblPr>
        <w:tblStyle w:val="24"/>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电话</w:t>
            </w:r>
          </w:p>
        </w:tc>
        <w:tc>
          <w:tcPr>
            <w:tcW w:w="2408" w:type="dxa"/>
            <w:gridSpan w:val="3"/>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r>
              <w:rPr>
                <w:rFonts w:hint="eastAsia" w:ascii="Times New Roman" w:hAnsi="Times New Roman" w:cs="宋体"/>
                <w:sz w:val="24"/>
                <w:szCs w:val="24"/>
              </w:rPr>
              <w:t>联系人</w:t>
            </w:r>
          </w:p>
        </w:tc>
        <w:tc>
          <w:tcPr>
            <w:tcW w:w="2946" w:type="dxa"/>
            <w:gridSpan w:val="3"/>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传真</w:t>
            </w:r>
          </w:p>
        </w:tc>
        <w:tc>
          <w:tcPr>
            <w:tcW w:w="2408" w:type="dxa"/>
            <w:gridSpan w:val="3"/>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r>
              <w:rPr>
                <w:rFonts w:hint="eastAsia" w:ascii="Times New Roman" w:hAnsi="Times New Roman" w:cs="宋体"/>
                <w:sz w:val="24"/>
                <w:szCs w:val="24"/>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注册地</w:t>
            </w:r>
          </w:p>
        </w:tc>
        <w:tc>
          <w:tcPr>
            <w:tcW w:w="2408" w:type="dxa"/>
            <w:gridSpan w:val="3"/>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c>
          <w:tcPr>
            <w:tcW w:w="1875"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r>
              <w:rPr>
                <w:rFonts w:hint="eastAsia" w:ascii="Times New Roman" w:hAnsi="Times New Roman" w:cs="宋体"/>
                <w:sz w:val="24"/>
                <w:szCs w:val="24"/>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r>
              <w:rPr>
                <w:rFonts w:hint="eastAsia" w:ascii="Times New Roman" w:hAnsi="Times New Roman" w:cs="宋体"/>
                <w:sz w:val="24"/>
                <w:szCs w:val="24"/>
              </w:rPr>
              <w:t>公司具备的相关资质等级及相应的证书号</w:t>
            </w:r>
          </w:p>
          <w:p>
            <w:pPr>
              <w:spacing w:line="360" w:lineRule="auto"/>
              <w:rPr>
                <w:rFonts w:ascii="Times New Roman" w:hAnsi="Times New Roman" w:cs="宋体"/>
                <w:sz w:val="24"/>
                <w:szCs w:val="24"/>
              </w:rPr>
            </w:pPr>
            <w:r>
              <w:rPr>
                <w:rFonts w:hint="eastAsia" w:ascii="Times New Roman" w:hAnsi="Times New Roman" w:cs="宋体"/>
                <w:sz w:val="24"/>
                <w:szCs w:val="24"/>
              </w:rPr>
              <w:t>（请附有关证书的复印件）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r>
              <w:rPr>
                <w:rFonts w:hint="eastAsia" w:ascii="Times New Roman" w:hAnsi="Times New Roman" w:cs="宋体"/>
                <w:sz w:val="24"/>
                <w:szCs w:val="24"/>
              </w:rPr>
              <w:t>公司</w:t>
            </w:r>
            <w:r>
              <w:rPr>
                <w:rFonts w:hint="eastAsia" w:ascii="Times New Roman" w:hAnsi="Times New Roman" w:cs="宋体"/>
                <w:sz w:val="24"/>
                <w:szCs w:val="24"/>
                <w:u w:val="single"/>
              </w:rPr>
              <w:t xml:space="preserve">   （是否通过，何种）   </w:t>
            </w:r>
            <w:r>
              <w:rPr>
                <w:rFonts w:hint="eastAsia" w:ascii="Times New Roman" w:hAnsi="Times New Roman" w:cs="宋体"/>
                <w:sz w:val="24"/>
                <w:szCs w:val="24"/>
              </w:rPr>
              <w:t>质量保证体系认证（如通过请附相关在有效期内的证书复印件）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p>
        </w:tc>
        <w:tc>
          <w:tcPr>
            <w:tcW w:w="1417"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r>
              <w:rPr>
                <w:rFonts w:hint="eastAsia" w:ascii="Times New Roman" w:hAnsi="Times New Roman" w:cs="宋体"/>
                <w:sz w:val="24"/>
                <w:szCs w:val="24"/>
              </w:rPr>
              <w:t>年龄</w:t>
            </w:r>
          </w:p>
        </w:tc>
        <w:tc>
          <w:tcPr>
            <w:tcW w:w="1466" w:type="dxa"/>
            <w:gridSpan w:val="2"/>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p>
        </w:tc>
        <w:tc>
          <w:tcPr>
            <w:tcW w:w="1320"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r>
              <w:rPr>
                <w:rFonts w:hint="eastAsia" w:ascii="Times New Roman" w:hAnsi="Times New Roman" w:cs="宋体"/>
                <w:sz w:val="24"/>
                <w:szCs w:val="24"/>
              </w:rPr>
              <w:t>性别</w:t>
            </w:r>
          </w:p>
        </w:tc>
        <w:tc>
          <w:tcPr>
            <w:tcW w:w="1467" w:type="dxa"/>
            <w:tcBorders>
              <w:top w:val="single" w:color="auto" w:sz="4" w:space="0"/>
              <w:left w:val="nil"/>
              <w:bottom w:val="single" w:color="auto" w:sz="4" w:space="0"/>
              <w:right w:val="single" w:color="auto" w:sz="4" w:space="0"/>
            </w:tcBorders>
            <w:noWrap w:val="0"/>
            <w:vAlign w:val="top"/>
          </w:tcPr>
          <w:p>
            <w:pPr>
              <w:spacing w:line="360" w:lineRule="auto"/>
              <w:jc w:val="center"/>
              <w:rPr>
                <w:rFonts w:ascii="Times New Roman" w:hAnsi="Times New Roman" w:cs="宋体"/>
                <w:sz w:val="24"/>
                <w:szCs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c>
          <w:tcPr>
            <w:tcW w:w="1466" w:type="dxa"/>
            <w:gridSpan w:val="2"/>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r>
              <w:rPr>
                <w:rFonts w:hint="eastAsia" w:ascii="Times New Roman" w:hAnsi="Times New Roman" w:cs="宋体"/>
                <w:sz w:val="24"/>
                <w:szCs w:val="24"/>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cantSplit/>
          <w:trHeight w:val="223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cs="宋体"/>
                <w:sz w:val="24"/>
                <w:szCs w:val="24"/>
              </w:rPr>
            </w:pPr>
            <w:r>
              <w:rPr>
                <w:rFonts w:hint="eastAsia" w:ascii="Times New Roman" w:hAnsi="Times New Roman" w:cs="宋体"/>
                <w:sz w:val="24"/>
                <w:szCs w:val="24"/>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r>
              <w:rPr>
                <w:rFonts w:hint="eastAsia" w:ascii="Times New Roman" w:hAnsi="Times New Roman" w:cs="宋体"/>
                <w:sz w:val="24"/>
                <w:szCs w:val="24"/>
              </w:rPr>
              <w:t>营业执照载明：</w:t>
            </w:r>
          </w:p>
          <w:p>
            <w:pPr>
              <w:spacing w:line="360" w:lineRule="auto"/>
              <w:rPr>
                <w:rFonts w:ascii="Times New Roman" w:hAnsi="Times New Roman" w:cs="宋体"/>
                <w:sz w:val="24"/>
                <w:szCs w:val="24"/>
                <w:u w:val="single"/>
              </w:rPr>
            </w:pPr>
            <w:r>
              <w:rPr>
                <w:rFonts w:hint="eastAsia" w:ascii="Times New Roman" w:hAnsi="Times New Roman" w:cs="宋体"/>
                <w:sz w:val="24"/>
                <w:szCs w:val="24"/>
              </w:rPr>
              <w:t>1.</w:t>
            </w:r>
          </w:p>
          <w:p>
            <w:pPr>
              <w:spacing w:line="360" w:lineRule="auto"/>
              <w:rPr>
                <w:rFonts w:ascii="Times New Roman" w:hAnsi="Times New Roman" w:cs="宋体"/>
                <w:sz w:val="24"/>
                <w:szCs w:val="24"/>
                <w:u w:val="single"/>
              </w:rPr>
            </w:pPr>
            <w:r>
              <w:rPr>
                <w:rFonts w:hint="eastAsia" w:ascii="Times New Roman" w:hAnsi="Times New Roman" w:cs="宋体"/>
                <w:sz w:val="24"/>
                <w:szCs w:val="24"/>
              </w:rPr>
              <w:t>2.</w:t>
            </w:r>
          </w:p>
          <w:p>
            <w:pPr>
              <w:spacing w:line="360" w:lineRule="auto"/>
              <w:rPr>
                <w:rFonts w:ascii="Times New Roman" w:hAnsi="Times New Roman" w:cs="宋体"/>
                <w:sz w:val="24"/>
                <w:szCs w:val="24"/>
              </w:rPr>
            </w:pPr>
            <w:r>
              <w:rPr>
                <w:rFonts w:hint="eastAsia" w:ascii="Times New Roman" w:hAnsi="Times New Roman" w:cs="宋体"/>
                <w:sz w:val="24"/>
                <w:szCs w:val="24"/>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s="宋体"/>
                <w:sz w:val="24"/>
                <w:szCs w:val="24"/>
              </w:rPr>
            </w:pPr>
            <w:r>
              <w:rPr>
                <w:rFonts w:hint="eastAsia" w:ascii="Times New Roman" w:hAnsi="Times New Roman" w:cs="宋体"/>
                <w:sz w:val="24"/>
                <w:szCs w:val="24"/>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Times New Roman" w:hAnsi="Times New Roman" w:cs="宋体"/>
                <w:sz w:val="24"/>
                <w:szCs w:val="24"/>
              </w:rPr>
            </w:pPr>
            <w:r>
              <w:rPr>
                <w:rFonts w:hint="eastAsia" w:ascii="Times New Roman" w:hAnsi="Times New Roman" w:cs="宋体"/>
                <w:sz w:val="24"/>
                <w:szCs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pPr>
              <w:spacing w:line="360" w:lineRule="auto"/>
              <w:rPr>
                <w:rFonts w:ascii="Times New Roman" w:hAnsi="Times New Roman" w:cs="宋体"/>
                <w:sz w:val="24"/>
                <w:szCs w:val="24"/>
              </w:rPr>
            </w:pPr>
          </w:p>
        </w:tc>
      </w:tr>
    </w:tbl>
    <w:p>
      <w:pPr>
        <w:spacing w:line="360" w:lineRule="auto"/>
        <w:ind w:firstLine="480" w:firstLineChars="200"/>
        <w:jc w:val="right"/>
        <w:rPr>
          <w:rFonts w:ascii="Times New Roman" w:hAnsi="Times New Roman" w:cs="宋体"/>
          <w:sz w:val="24"/>
          <w:szCs w:val="24"/>
        </w:rPr>
      </w:pPr>
      <w:r>
        <w:rPr>
          <w:rFonts w:hint="eastAsia" w:ascii="Times New Roman" w:hAnsi="Times New Roman" w:cs="宋体"/>
          <w:sz w:val="24"/>
          <w:szCs w:val="24"/>
        </w:rPr>
        <w:t>供应商：（加盖公章）</w:t>
      </w:r>
    </w:p>
    <w:p>
      <w:pPr>
        <w:spacing w:line="360" w:lineRule="auto"/>
        <w:ind w:firstLine="480" w:firstLineChars="200"/>
        <w:jc w:val="right"/>
        <w:rPr>
          <w:rFonts w:ascii="Times New Roman" w:hAnsi="Times New Roman" w:cs="宋体"/>
          <w:sz w:val="24"/>
          <w:szCs w:val="24"/>
        </w:rPr>
      </w:pPr>
      <w:r>
        <w:rPr>
          <w:rFonts w:hint="eastAsia" w:ascii="Times New Roman" w:hAnsi="Times New Roman" w:cs="宋体"/>
          <w:sz w:val="24"/>
          <w:szCs w:val="24"/>
        </w:rPr>
        <w:t>法定代表人或被授权人：（签字或盖章）</w:t>
      </w:r>
    </w:p>
    <w:p>
      <w:pPr>
        <w:spacing w:line="360" w:lineRule="auto"/>
        <w:ind w:firstLine="1320" w:firstLineChars="550"/>
        <w:jc w:val="right"/>
        <w:rPr>
          <w:rFonts w:ascii="Times New Roman" w:hAnsi="Times New Roman" w:cs="宋体"/>
          <w:sz w:val="24"/>
          <w:szCs w:val="24"/>
        </w:rPr>
      </w:pPr>
      <w:r>
        <w:rPr>
          <w:rFonts w:hint="eastAsia" w:ascii="Times New Roman" w:hAnsi="Times New Roman" w:cs="宋体"/>
          <w:sz w:val="24"/>
          <w:szCs w:val="24"/>
        </w:rPr>
        <w:t>年      月     日</w:t>
      </w:r>
    </w:p>
    <w:p>
      <w:pPr>
        <w:rPr>
          <w:rFonts w:hint="eastAsia" w:ascii="Times New Roman" w:hAnsi="Times New Roman" w:eastAsia="宋体"/>
          <w:b/>
          <w:sz w:val="24"/>
          <w:szCs w:val="24"/>
          <w:lang w:val="en-US" w:eastAsia="zh-CN"/>
        </w:rPr>
      </w:pPr>
    </w:p>
    <w:p>
      <w:pPr>
        <w:rPr>
          <w:rFonts w:hint="eastAsia" w:ascii="Times New Roman" w:hAnsi="Times New Roman" w:eastAsia="宋体"/>
          <w:b/>
          <w:sz w:val="24"/>
          <w:szCs w:val="24"/>
          <w:lang w:val="en-US" w:eastAsia="zh-CN"/>
        </w:rPr>
      </w:pPr>
      <w:r>
        <w:rPr>
          <w:rFonts w:hint="eastAsia" w:ascii="Times New Roman" w:hAnsi="Times New Roman" w:eastAsia="宋体"/>
          <w:b/>
          <w:sz w:val="24"/>
          <w:szCs w:val="24"/>
          <w:lang w:val="en-US" w:eastAsia="zh-CN"/>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sz w:val="24"/>
          <w:szCs w:val="24"/>
        </w:rPr>
      </w:pPr>
      <w:r>
        <w:rPr>
          <w:rFonts w:hint="eastAsia" w:ascii="Times New Roman" w:hAnsi="Times New Roman" w:eastAsia="宋体"/>
          <w:b/>
          <w:sz w:val="24"/>
          <w:szCs w:val="24"/>
          <w:lang w:val="en-US" w:eastAsia="zh-CN"/>
        </w:rPr>
        <w:t>7</w:t>
      </w:r>
      <w:r>
        <w:rPr>
          <w:rFonts w:hint="eastAsia" w:ascii="Times New Roman" w:hAnsi="Times New Roman" w:eastAsia="宋体"/>
          <w:b/>
          <w:sz w:val="24"/>
          <w:szCs w:val="24"/>
        </w:rPr>
        <w:t>、技术</w:t>
      </w:r>
      <w:r>
        <w:rPr>
          <w:rFonts w:hint="eastAsia" w:ascii="Times New Roman" w:hAnsi="Times New Roman" w:eastAsia="宋体"/>
          <w:b/>
          <w:sz w:val="24"/>
          <w:szCs w:val="24"/>
          <w:lang w:eastAsia="zh-CN"/>
        </w:rPr>
        <w:t>商务</w:t>
      </w:r>
      <w:r>
        <w:rPr>
          <w:rFonts w:hint="eastAsia" w:ascii="Times New Roman" w:hAnsi="Times New Roman" w:eastAsia="宋体"/>
          <w:b/>
          <w:sz w:val="24"/>
          <w:szCs w:val="24"/>
        </w:rPr>
        <w:t>条款响应正负偏离表</w:t>
      </w:r>
    </w:p>
    <w:p>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1357"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302"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3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sz w:val="24"/>
                <w:szCs w:val="24"/>
              </w:rPr>
            </w:pPr>
          </w:p>
        </w:tc>
      </w:tr>
    </w:tbl>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项目需求说明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中的技术</w:t>
      </w:r>
      <w:r>
        <w:rPr>
          <w:rFonts w:hint="eastAsia" w:ascii="Times New Roman" w:hAnsi="Times New Roman" w:eastAsia="宋体" w:cs="宋体"/>
          <w:sz w:val="24"/>
          <w:szCs w:val="24"/>
          <w:lang w:eastAsia="zh-CN"/>
        </w:rPr>
        <w:t>及商务</w:t>
      </w:r>
      <w:r>
        <w:rPr>
          <w:rFonts w:ascii="Times New Roman" w:hAnsi="Times New Roman" w:eastAsia="宋体" w:cs="宋体"/>
          <w:sz w:val="24"/>
          <w:szCs w:val="24"/>
        </w:rPr>
        <w:t>部分的要求有不同时，应逐条填列在偏离表中，否则将认为响应人接受磋商文件的所有要求。完全响应部分不填。</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偏离说明</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一栏选择</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正偏离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负偏离</w:t>
      </w:r>
      <w:r>
        <w:rPr>
          <w:rFonts w:hint="eastAsia" w:ascii="Times New Roman" w:hAnsi="Times New Roman" w:eastAsia="宋体" w:cs="宋体"/>
          <w:sz w:val="24"/>
          <w:szCs w:val="24"/>
          <w:lang w:eastAsia="zh-CN"/>
        </w:rPr>
        <w:t>”</w:t>
      </w:r>
      <w:r>
        <w:rPr>
          <w:rFonts w:ascii="Times New Roman" w:hAnsi="Times New Roman" w:eastAsia="宋体" w:cs="宋体"/>
          <w:sz w:val="24"/>
          <w:szCs w:val="24"/>
        </w:rPr>
        <w:t>进行填写。正偏离的确认和负偏离的是否相应磋商文件，经三分之二评委认定。</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keepNext w:val="0"/>
        <w:keepLines w:val="0"/>
        <w:pageBreakBefore w:val="0"/>
        <w:widowControl w:val="0"/>
        <w:kinsoku/>
        <w:wordWrap/>
        <w:topLinePunct w:val="0"/>
        <w:autoSpaceDE/>
        <w:autoSpaceDN/>
        <w:bidi w:val="0"/>
        <w:spacing w:line="360" w:lineRule="auto"/>
        <w:rPr>
          <w:rFonts w:ascii="Times New Roman" w:hAnsi="Times New Roman" w:eastAsia="宋体" w:cs="仿宋"/>
          <w:sz w:val="28"/>
          <w:szCs w:val="28"/>
        </w:rPr>
      </w:pP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sz w:val="24"/>
          <w:szCs w:val="24"/>
        </w:rPr>
      </w:pPr>
    </w:p>
    <w:p>
      <w:pPr>
        <w:keepNext w:val="0"/>
        <w:keepLines w:val="0"/>
        <w:pageBreakBefore w:val="0"/>
        <w:widowControl w:val="0"/>
        <w:wordWrap/>
        <w:topLinePunct w:val="0"/>
        <w:bidi w:val="0"/>
        <w:spacing w:line="360" w:lineRule="auto"/>
        <w:rPr>
          <w:rFonts w:ascii="Times New Roman" w:hAnsi="Times New Roman" w:eastAsia="宋体"/>
          <w:sz w:val="24"/>
          <w:szCs w:val="24"/>
        </w:rPr>
      </w:pPr>
      <w:r>
        <w:rPr>
          <w:rFonts w:ascii="Times New Roman" w:hAnsi="Times New Roman" w:eastAsia="宋体" w:cs="宋体"/>
          <w:b/>
          <w:bCs/>
          <w:sz w:val="24"/>
          <w:szCs w:val="24"/>
        </w:rPr>
        <w:br w:type="page"/>
      </w:r>
    </w:p>
    <w:p>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rPr>
      </w:pPr>
      <w:r>
        <w:rPr>
          <w:rFonts w:hint="eastAsia" w:ascii="Times New Roman" w:hAnsi="Times New Roman" w:eastAsia="宋体" w:cs="宋体"/>
          <w:b/>
          <w:sz w:val="24"/>
          <w:szCs w:val="24"/>
          <w:lang w:val="en-US" w:eastAsia="zh-CN"/>
        </w:rPr>
        <w:t>8</w:t>
      </w:r>
      <w:r>
        <w:rPr>
          <w:rFonts w:hint="eastAsia" w:ascii="Times New Roman" w:hAnsi="Times New Roman" w:eastAsia="宋体" w:cs="宋体"/>
          <w:b/>
          <w:sz w:val="24"/>
          <w:szCs w:val="24"/>
        </w:rPr>
        <w:t>、磋商响应报价表</w:t>
      </w:r>
    </w:p>
    <w:p>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南通市第三人民医院电梯维护保养服务项目</w:t>
      </w:r>
    </w:p>
    <w:tbl>
      <w:tblPr>
        <w:tblStyle w:val="24"/>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w:t>
            </w:r>
            <w:r>
              <w:rPr>
                <w:rFonts w:hint="eastAsia" w:ascii="Times New Roman" w:hAnsi="Times New Roman"/>
                <w:b/>
                <w:sz w:val="24"/>
                <w:szCs w:val="24"/>
              </w:rPr>
              <w:t>（元</w:t>
            </w:r>
            <w:r>
              <w:rPr>
                <w:rFonts w:hint="eastAsia" w:ascii="宋体" w:hAnsi="宋体" w:cs="宋体"/>
                <w:b/>
                <w:sz w:val="24"/>
                <w:szCs w:val="24"/>
              </w:rPr>
              <w:t>/</w:t>
            </w:r>
            <w:r>
              <w:rPr>
                <w:rFonts w:hint="eastAsia" w:ascii="Times New Roman" w:hAnsi="Times New Roman"/>
                <w:b/>
                <w:sz w:val="24"/>
                <w:szCs w:val="24"/>
              </w:rPr>
              <w:t>年）</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1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4"/>
                <w:szCs w:val="24"/>
                <w:lang w:eastAsia="zh-CN"/>
              </w:rPr>
              <w:t>南通市第三人民医院电梯维护保养服务项目</w:t>
            </w: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180" w:type="dxa"/>
            <w:vMerge w:val="continue"/>
            <w:tcBorders>
              <w:left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sz w:val="24"/>
                <w:szCs w:val="24"/>
              </w:rPr>
            </w:pPr>
          </w:p>
        </w:tc>
        <w:tc>
          <w:tcPr>
            <w:tcW w:w="1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4"/>
                <w:szCs w:val="24"/>
              </w:rPr>
            </w:pPr>
          </w:p>
        </w:tc>
      </w:tr>
    </w:tbl>
    <w:p>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sz w:val="20"/>
        </w:rPr>
      </w:pPr>
    </w:p>
    <w:p>
      <w:pPr>
        <w:pStyle w:val="12"/>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年月日</w:t>
      </w:r>
    </w:p>
    <w:p>
      <w:pPr>
        <w:pStyle w:val="12"/>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sz w:val="24"/>
          <w:szCs w:val="24"/>
        </w:rPr>
      </w:pPr>
    </w:p>
    <w:p>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w:t>
      </w:r>
      <w:r>
        <w:rPr>
          <w:rFonts w:hint="eastAsia" w:ascii="Times New Roman" w:hAnsi="Times New Roman" w:eastAsia="宋体"/>
          <w:bCs/>
          <w:sz w:val="24"/>
          <w:szCs w:val="24"/>
          <w:lang w:eastAsia="zh-CN"/>
        </w:rPr>
        <w:t>包含但不限于</w:t>
      </w:r>
      <w:r>
        <w:rPr>
          <w:rFonts w:hint="eastAsia" w:ascii="Times New Roman" w:hAnsi="Times New Roman" w:eastAsia="宋体"/>
          <w:bCs/>
          <w:sz w:val="24"/>
          <w:szCs w:val="24"/>
        </w:rPr>
        <w:t>服务的成本、利润、税金、开办费、政策性调整风险费等的所有费用；</w:t>
      </w:r>
      <w:r>
        <w:rPr>
          <w:rFonts w:hint="eastAsia" w:ascii="Times New Roman" w:hAnsi="Times New Roman" w:eastAsia="宋体" w:cs="宋体"/>
          <w:sz w:val="24"/>
          <w:szCs w:val="24"/>
        </w:rPr>
        <w:t>维保服务费、辅材费、</w:t>
      </w:r>
      <w:r>
        <w:rPr>
          <w:rFonts w:hint="eastAsia" w:ascii="Times New Roman" w:hAnsi="Times New Roman" w:eastAsia="宋体"/>
          <w:bCs/>
          <w:sz w:val="24"/>
          <w:szCs w:val="24"/>
        </w:rPr>
        <w:t>人工费、检测费、管理费；国家税务部门规定的各项税金；相关伴随服务以及售后服务等一切费用</w:t>
      </w:r>
      <w:r>
        <w:rPr>
          <w:rFonts w:hint="eastAsia" w:ascii="Times New Roman" w:hAnsi="Times New Roman" w:eastAsia="宋体" w:cs="宋体"/>
          <w:sz w:val="24"/>
          <w:szCs w:val="24"/>
        </w:rPr>
        <w:t>。同时，报价也包含了合同履行过程中可能发生的一切风险。</w:t>
      </w:r>
    </w:p>
    <w:p>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w:t>
      </w:r>
      <w:r>
        <w:rPr>
          <w:rFonts w:hint="eastAsia" w:ascii="Times New Roman" w:hAnsi="Times New Roman" w:eastAsia="宋体"/>
          <w:b/>
          <w:color w:val="000000" w:themeColor="text1"/>
          <w:sz w:val="24"/>
          <w:szCs w:val="24"/>
          <w:lang w:eastAsia="zh-CN"/>
          <w14:textFill>
            <w14:solidFill>
              <w14:schemeClr w14:val="tx1"/>
            </w14:solidFill>
          </w14:textFill>
        </w:rPr>
        <w:t>“</w:t>
      </w:r>
      <w:r>
        <w:rPr>
          <w:rFonts w:hint="eastAsia" w:ascii="Times New Roman" w:hAnsi="Times New Roman" w:eastAsia="宋体"/>
          <w:b/>
          <w:color w:val="000000" w:themeColor="text1"/>
          <w:sz w:val="24"/>
          <w:szCs w:val="24"/>
          <w14:textFill>
            <w14:solidFill>
              <w14:schemeClr w14:val="tx1"/>
            </w14:solidFill>
          </w14:textFill>
        </w:rPr>
        <w:t>电梯维护保养清单及保养费明细表</w:t>
      </w:r>
      <w:r>
        <w:rPr>
          <w:rFonts w:hint="eastAsia" w:ascii="Times New Roman" w:hAnsi="Times New Roman" w:eastAsia="宋体"/>
          <w:b/>
          <w:color w:val="000000" w:themeColor="text1"/>
          <w:sz w:val="24"/>
          <w:szCs w:val="24"/>
          <w:lang w:eastAsia="zh-CN"/>
          <w14:textFill>
            <w14:solidFill>
              <w14:schemeClr w14:val="tx1"/>
            </w14:solidFill>
          </w14:textFill>
        </w:rPr>
        <w:t>”</w:t>
      </w:r>
      <w:r>
        <w:rPr>
          <w:rFonts w:hint="eastAsia" w:ascii="Times New Roman" w:hAnsi="Times New Roman" w:eastAsia="宋体"/>
          <w:b/>
          <w:color w:val="000000" w:themeColor="text1"/>
          <w:sz w:val="24"/>
          <w:szCs w:val="24"/>
          <w14:textFill>
            <w14:solidFill>
              <w14:schemeClr w14:val="tx1"/>
            </w14:solidFill>
          </w14:textFill>
        </w:rPr>
        <w:t>总价金额应当与首次报价表金额相等，且第二次报价时，磋商响应报价明细表按同比例下浮。</w:t>
      </w:r>
    </w:p>
    <w:p>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lang w:val="en-US" w:eastAsia="zh-CN"/>
        </w:rPr>
        <w:t>9、</w:t>
      </w:r>
      <w:r>
        <w:rPr>
          <w:rFonts w:hint="eastAsia" w:ascii="Times New Roman" w:hAnsi="Times New Roman" w:eastAsia="宋体" w:cs="宋体"/>
          <w:b/>
          <w:sz w:val="24"/>
          <w:szCs w:val="24"/>
        </w:rPr>
        <w:t>磋商响应报价明细表</w:t>
      </w:r>
    </w:p>
    <w:p>
      <w:pPr>
        <w:keepNext w:val="0"/>
        <w:keepLines w:val="0"/>
        <w:pageBreakBefore w:val="0"/>
        <w:widowControl w:val="0"/>
        <w:kinsoku/>
        <w:wordWrap/>
        <w:topLinePunct w:val="0"/>
        <w:autoSpaceDE/>
        <w:autoSpaceDN/>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附件1</w:t>
      </w:r>
      <w:r>
        <w:rPr>
          <w:rFonts w:hint="eastAsia" w:ascii="宋体" w:hAnsi="宋体" w:eastAsia="宋体" w:cs="宋体"/>
          <w:sz w:val="24"/>
          <w:szCs w:val="24"/>
          <w:lang w:eastAsia="zh-CN"/>
        </w:rPr>
        <w:t>：</w:t>
      </w:r>
    </w:p>
    <w:p>
      <w:pPr>
        <w:pStyle w:val="19"/>
        <w:jc w:val="center"/>
        <w:rPr>
          <w:rFonts w:ascii="Times New Roman" w:hAnsi="Times New Roman"/>
          <w:b/>
          <w:bCs/>
        </w:rPr>
      </w:pPr>
      <w:r>
        <w:rPr>
          <w:rFonts w:ascii="Arial" w:hAnsi="Arial" w:cs="Arial"/>
          <w:b/>
          <w:bCs/>
        </w:rPr>
        <w:t>电梯维护保养</w:t>
      </w:r>
      <w:r>
        <w:rPr>
          <w:rFonts w:hint="eastAsia" w:ascii="Arial" w:hAnsi="Arial" w:cs="Arial"/>
          <w:b/>
          <w:bCs/>
        </w:rPr>
        <w:t>清单</w:t>
      </w:r>
      <w:r>
        <w:rPr>
          <w:rFonts w:ascii="Arial" w:hAnsi="Arial" w:cs="Arial"/>
          <w:b/>
          <w:bCs/>
        </w:rPr>
        <w:t>及</w:t>
      </w:r>
      <w:r>
        <w:rPr>
          <w:rFonts w:hint="eastAsia" w:ascii="Arial" w:hAnsi="Arial" w:cs="Arial"/>
          <w:b/>
          <w:bCs/>
        </w:rPr>
        <w:t>保养费</w:t>
      </w:r>
      <w:r>
        <w:rPr>
          <w:rFonts w:ascii="Arial" w:hAnsi="Arial" w:cs="Arial"/>
          <w:b/>
          <w:bCs/>
        </w:rPr>
        <w:t>明细表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1、垂直梯</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9"/>
        <w:gridCol w:w="1440"/>
        <w:gridCol w:w="930"/>
        <w:gridCol w:w="1215"/>
        <w:gridCol w:w="1455"/>
        <w:gridCol w:w="1275"/>
        <w:gridCol w:w="112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序号</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名称</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品牌</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设备</w:t>
            </w:r>
          </w:p>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档案号</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层站</w:t>
            </w:r>
          </w:p>
        </w:tc>
        <w:tc>
          <w:tcPr>
            <w:tcW w:w="1275" w:type="dxa"/>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维保单价</w:t>
            </w:r>
          </w:p>
          <w:p>
            <w:pPr>
              <w:spacing w:line="360" w:lineRule="auto"/>
              <w:jc w:val="center"/>
              <w:rPr>
                <w:rFonts w:hint="eastAsia" w:ascii="宋体" w:hAnsi="宋体" w:eastAsia="宋体" w:cs="宋体"/>
                <w:color w:val="000000"/>
                <w:sz w:val="24"/>
                <w:szCs w:val="24"/>
                <w:lang w:bidi="ar"/>
              </w:rPr>
            </w:pPr>
            <w:r>
              <w:rPr>
                <w:rFonts w:hint="eastAsia" w:ascii="宋体" w:hAnsi="宋体" w:eastAsia="宋体" w:cs="宋体"/>
                <w:sz w:val="24"/>
                <w:szCs w:val="24"/>
              </w:rPr>
              <w:t>（元/台）</w:t>
            </w:r>
          </w:p>
        </w:tc>
        <w:tc>
          <w:tcPr>
            <w:tcW w:w="1125" w:type="dxa"/>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1038" w:type="dxa"/>
            <w:tcBorders>
              <w:tl2br w:val="nil"/>
              <w:tr2bl w:val="nil"/>
            </w:tcBorders>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金额</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医综楼</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T007757</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3层3站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T007756</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4层4站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T007758</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2层2站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T007759</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21层21站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T007760</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21层21站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6#梯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东南</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T007763</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20层20站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7#梯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T007762</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20层20站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8#梯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T007761</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21层21站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9#梯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T007764</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21层21站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10#梯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T007765</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20层20站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11#梯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T007766</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20层19站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709"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二</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老院区</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215"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p>
        </w:tc>
        <w:tc>
          <w:tcPr>
            <w:tcW w:w="1455"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p>
        </w:tc>
        <w:tc>
          <w:tcPr>
            <w:tcW w:w="1275"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p>
        </w:tc>
        <w:tc>
          <w:tcPr>
            <w:tcW w:w="1125"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p>
        </w:tc>
        <w:tc>
          <w:tcPr>
            <w:tcW w:w="1038"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1号楼</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大通</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T007949</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3层3站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4号楼（西）</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大通</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T007076</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5层5站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14</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4号楼东梯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大通</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T001194</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4层4站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4号楼中梯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大通</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T001192</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5层5站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5号楼</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大通</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T080840</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6层6站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17</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5号楼西</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华达</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T008284</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2层2站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18</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6号楼</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西奥</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T001193</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3层3站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19</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7号楼</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艾玛斯</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T005106</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2层2站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三</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新城桥社区</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bidi="ar"/>
              </w:rPr>
              <w:t>20</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卫生服务中心</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通力</w:t>
            </w: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T006643</w:t>
            </w: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6层6站</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29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四</w:t>
            </w:r>
          </w:p>
        </w:tc>
        <w:tc>
          <w:tcPr>
            <w:tcW w:w="144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自动扶梯</w:t>
            </w:r>
          </w:p>
        </w:tc>
        <w:tc>
          <w:tcPr>
            <w:tcW w:w="930"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21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45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提升高度m</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21</w:t>
            </w:r>
          </w:p>
        </w:tc>
        <w:tc>
          <w:tcPr>
            <w:tcW w:w="1440" w:type="dxa"/>
            <w:tcBorders>
              <w:tl2br w:val="nil"/>
              <w:tr2bl w:val="nil"/>
            </w:tcBorders>
            <w:vAlign w:val="center"/>
          </w:tcPr>
          <w:p>
            <w:pPr>
              <w:widowControl/>
              <w:spacing w:line="3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自动扶梯</w:t>
            </w:r>
          </w:p>
        </w:tc>
        <w:tc>
          <w:tcPr>
            <w:tcW w:w="930" w:type="dxa"/>
            <w:tcBorders>
              <w:tl2br w:val="nil"/>
              <w:tr2bl w:val="nil"/>
            </w:tcBorders>
            <w:vAlign w:val="center"/>
          </w:tcPr>
          <w:p>
            <w:pPr>
              <w:widowControl/>
              <w:spacing w:line="3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3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T007752</w:t>
            </w:r>
          </w:p>
        </w:tc>
        <w:tc>
          <w:tcPr>
            <w:tcW w:w="1455" w:type="dxa"/>
            <w:tcBorders>
              <w:tl2br w:val="nil"/>
              <w:tr2bl w:val="nil"/>
            </w:tcBorders>
            <w:vAlign w:val="center"/>
          </w:tcPr>
          <w:p>
            <w:pPr>
              <w:widowControl/>
              <w:spacing w:line="300" w:lineRule="exact"/>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4.4</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w:t>
            </w:r>
          </w:p>
        </w:tc>
        <w:tc>
          <w:tcPr>
            <w:tcW w:w="1440" w:type="dxa"/>
            <w:tcBorders>
              <w:tl2br w:val="nil"/>
              <w:tr2bl w:val="nil"/>
            </w:tcBorders>
            <w:vAlign w:val="center"/>
          </w:tcPr>
          <w:p>
            <w:pPr>
              <w:widowControl/>
              <w:spacing w:line="300" w:lineRule="exact"/>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自动扶梯</w:t>
            </w:r>
          </w:p>
        </w:tc>
        <w:tc>
          <w:tcPr>
            <w:tcW w:w="930" w:type="dxa"/>
            <w:tcBorders>
              <w:tl2br w:val="nil"/>
              <w:tr2bl w:val="nil"/>
            </w:tcBorders>
            <w:vAlign w:val="center"/>
          </w:tcPr>
          <w:p>
            <w:pPr>
              <w:widowControl/>
              <w:spacing w:line="300" w:lineRule="exact"/>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3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T007753</w:t>
            </w:r>
          </w:p>
        </w:tc>
        <w:tc>
          <w:tcPr>
            <w:tcW w:w="1455" w:type="dxa"/>
            <w:tcBorders>
              <w:tl2br w:val="nil"/>
              <w:tr2bl w:val="nil"/>
            </w:tcBorders>
            <w:vAlign w:val="center"/>
          </w:tcPr>
          <w:p>
            <w:pPr>
              <w:widowControl/>
              <w:spacing w:line="300" w:lineRule="exact"/>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4.4</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tcBorders>
              <w:tl2br w:val="nil"/>
              <w:tr2bl w:val="nil"/>
            </w:tcBorders>
            <w:vAlign w:val="center"/>
          </w:tcPr>
          <w:p>
            <w:pPr>
              <w:widowControl/>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1440" w:type="dxa"/>
            <w:tcBorders>
              <w:tl2br w:val="nil"/>
              <w:tr2bl w:val="nil"/>
            </w:tcBorders>
            <w:vAlign w:val="center"/>
          </w:tcPr>
          <w:p>
            <w:pPr>
              <w:widowControl/>
              <w:spacing w:line="300" w:lineRule="exact"/>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自动扶梯</w:t>
            </w:r>
          </w:p>
        </w:tc>
        <w:tc>
          <w:tcPr>
            <w:tcW w:w="930" w:type="dxa"/>
            <w:tcBorders>
              <w:tl2br w:val="nil"/>
              <w:tr2bl w:val="nil"/>
            </w:tcBorders>
            <w:vAlign w:val="center"/>
          </w:tcPr>
          <w:p>
            <w:pPr>
              <w:widowControl/>
              <w:spacing w:line="300" w:lineRule="exact"/>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tcBorders>
              <w:tl2br w:val="nil"/>
              <w:tr2bl w:val="nil"/>
            </w:tcBorders>
            <w:vAlign w:val="center"/>
          </w:tcPr>
          <w:p>
            <w:pPr>
              <w:widowControl/>
              <w:spacing w:line="3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T007754</w:t>
            </w:r>
          </w:p>
        </w:tc>
        <w:tc>
          <w:tcPr>
            <w:tcW w:w="1455" w:type="dxa"/>
            <w:tcBorders>
              <w:tl2br w:val="nil"/>
              <w:tr2bl w:val="nil"/>
            </w:tcBorders>
            <w:vAlign w:val="center"/>
          </w:tcPr>
          <w:p>
            <w:pPr>
              <w:widowControl/>
              <w:spacing w:line="300" w:lineRule="exact"/>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3.9</w:t>
            </w:r>
          </w:p>
        </w:tc>
        <w:tc>
          <w:tcPr>
            <w:tcW w:w="127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Borders>
              <w:tl2br w:val="nil"/>
              <w:tr2bl w:val="nil"/>
            </w:tcBorders>
            <w:vAlign w:val="center"/>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vAlign w:val="center"/>
          </w:tcPr>
          <w:p>
            <w:pPr>
              <w:widowControl/>
              <w:spacing w:line="3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24</w:t>
            </w:r>
          </w:p>
        </w:tc>
        <w:tc>
          <w:tcPr>
            <w:tcW w:w="1440" w:type="dxa"/>
            <w:vAlign w:val="center"/>
          </w:tcPr>
          <w:p>
            <w:pPr>
              <w:widowControl/>
              <w:spacing w:line="300" w:lineRule="exact"/>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自动扶梯</w:t>
            </w:r>
          </w:p>
        </w:tc>
        <w:tc>
          <w:tcPr>
            <w:tcW w:w="930" w:type="dxa"/>
            <w:vAlign w:val="center"/>
          </w:tcPr>
          <w:p>
            <w:pPr>
              <w:widowControl/>
              <w:spacing w:line="300" w:lineRule="exact"/>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三星</w:t>
            </w:r>
          </w:p>
        </w:tc>
        <w:tc>
          <w:tcPr>
            <w:tcW w:w="1215" w:type="dxa"/>
            <w:vAlign w:val="center"/>
          </w:tcPr>
          <w:p>
            <w:pPr>
              <w:widowControl/>
              <w:spacing w:line="30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T007755</w:t>
            </w:r>
          </w:p>
        </w:tc>
        <w:tc>
          <w:tcPr>
            <w:tcW w:w="1455" w:type="dxa"/>
            <w:vAlign w:val="center"/>
          </w:tcPr>
          <w:p>
            <w:pPr>
              <w:widowControl/>
              <w:spacing w:line="300" w:lineRule="exact"/>
              <w:jc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rPr>
              <w:t>3.9</w:t>
            </w:r>
          </w:p>
        </w:tc>
        <w:tc>
          <w:tcPr>
            <w:tcW w:w="1275" w:type="dxa"/>
          </w:tcPr>
          <w:p>
            <w:pPr>
              <w:widowControl/>
              <w:spacing w:line="290" w:lineRule="exact"/>
              <w:jc w:val="center"/>
              <w:textAlignment w:val="center"/>
              <w:rPr>
                <w:rFonts w:hint="eastAsia" w:ascii="宋体" w:hAnsi="宋体" w:eastAsia="宋体" w:cs="宋体"/>
                <w:color w:val="000000"/>
                <w:sz w:val="24"/>
                <w:szCs w:val="24"/>
                <w:lang w:bidi="ar"/>
              </w:rPr>
            </w:pPr>
          </w:p>
        </w:tc>
        <w:tc>
          <w:tcPr>
            <w:tcW w:w="1125" w:type="dxa"/>
          </w:tcPr>
          <w:p>
            <w:pPr>
              <w:widowControl/>
              <w:spacing w:line="290" w:lineRule="exact"/>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038" w:type="dxa"/>
          </w:tcPr>
          <w:p>
            <w:pPr>
              <w:widowControl/>
              <w:spacing w:line="290" w:lineRule="exact"/>
              <w:jc w:val="center"/>
              <w:textAlignment w:val="center"/>
              <w:rPr>
                <w:rFonts w:hint="eastAsia" w:ascii="宋体" w:hAnsi="宋体" w:eastAsia="宋体" w:cs="宋体"/>
                <w:color w:val="00000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709" w:type="dxa"/>
            <w:vAlign w:val="center"/>
          </w:tcPr>
          <w:p>
            <w:pPr>
              <w:widowControl/>
              <w:spacing w:line="300" w:lineRule="exact"/>
              <w:jc w:val="center"/>
              <w:rPr>
                <w:rFonts w:hint="eastAsia" w:ascii="宋体" w:hAnsi="宋体" w:eastAsia="宋体" w:cs="宋体"/>
                <w:color w:val="000000"/>
                <w:sz w:val="24"/>
                <w:szCs w:val="24"/>
              </w:rPr>
            </w:pPr>
          </w:p>
        </w:tc>
        <w:tc>
          <w:tcPr>
            <w:tcW w:w="1440" w:type="dxa"/>
            <w:vAlign w:val="center"/>
          </w:tcPr>
          <w:p>
            <w:pPr>
              <w:widowControl/>
              <w:spacing w:line="300" w:lineRule="exact"/>
              <w:jc w:val="center"/>
              <w:rPr>
                <w:rFonts w:hint="eastAsia" w:ascii="宋体" w:hAnsi="宋体" w:eastAsia="宋体" w:cs="宋体"/>
                <w:color w:val="000000"/>
                <w:sz w:val="24"/>
                <w:szCs w:val="24"/>
                <w:lang w:bidi="ar"/>
              </w:rPr>
            </w:pPr>
            <w:r>
              <w:rPr>
                <w:rFonts w:hint="eastAsia" w:ascii="宋体" w:hAnsi="宋体" w:eastAsia="宋体" w:cs="宋体"/>
                <w:sz w:val="24"/>
                <w:szCs w:val="24"/>
              </w:rPr>
              <w:t>合计</w:t>
            </w:r>
          </w:p>
        </w:tc>
        <w:tc>
          <w:tcPr>
            <w:tcW w:w="930" w:type="dxa"/>
            <w:vAlign w:val="center"/>
          </w:tcPr>
          <w:p>
            <w:pPr>
              <w:widowControl/>
              <w:spacing w:line="300" w:lineRule="exact"/>
              <w:jc w:val="center"/>
              <w:rPr>
                <w:rFonts w:hint="eastAsia" w:ascii="宋体" w:hAnsi="宋体" w:eastAsia="宋体" w:cs="宋体"/>
                <w:sz w:val="24"/>
                <w:szCs w:val="24"/>
              </w:rPr>
            </w:pPr>
          </w:p>
        </w:tc>
        <w:tc>
          <w:tcPr>
            <w:tcW w:w="6108" w:type="dxa"/>
            <w:gridSpan w:val="5"/>
            <w:vAlign w:val="center"/>
          </w:tcPr>
          <w:p>
            <w:pPr>
              <w:widowControl/>
              <w:spacing w:line="290" w:lineRule="exact"/>
              <w:jc w:val="left"/>
              <w:textAlignment w:val="center"/>
              <w:rPr>
                <w:rFonts w:hint="eastAsia" w:ascii="宋体" w:hAnsi="宋体" w:eastAsia="宋体" w:cs="宋体"/>
                <w:sz w:val="24"/>
                <w:szCs w:val="24"/>
                <w:u w:val="single"/>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widowControl/>
              <w:spacing w:line="290" w:lineRule="exact"/>
              <w:ind w:firstLine="1440" w:firstLineChars="600"/>
              <w:jc w:val="left"/>
              <w:textAlignment w:val="center"/>
              <w:rPr>
                <w:rFonts w:hint="eastAsia" w:ascii="宋体" w:hAnsi="宋体" w:eastAsia="宋体" w:cs="宋体"/>
                <w:color w:val="000000"/>
                <w:sz w:val="24"/>
                <w:szCs w:val="24"/>
                <w:lang w:bidi="ar"/>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tc>
      </w:tr>
    </w:tbl>
    <w:p>
      <w:pPr>
        <w:spacing w:line="360" w:lineRule="auto"/>
      </w:pPr>
    </w:p>
    <w:p>
      <w:pPr>
        <w:spacing w:line="360" w:lineRule="auto"/>
        <w:rPr>
          <w:rFonts w:hint="eastAsia" w:ascii="宋体" w:hAnsi="宋体" w:eastAsia="宋体" w:cs="宋体"/>
          <w:sz w:val="24"/>
          <w:szCs w:val="24"/>
        </w:rPr>
      </w:pPr>
      <w:r>
        <w:rPr>
          <w:rFonts w:hint="eastAsia" w:ascii="宋体" w:hAnsi="宋体" w:eastAsia="宋体" w:cs="宋体"/>
          <w:sz w:val="24"/>
          <w:szCs w:val="24"/>
        </w:rPr>
        <w:t>附件2</w:t>
      </w:r>
    </w:p>
    <w:p>
      <w:pPr>
        <w:spacing w:line="360" w:lineRule="auto"/>
        <w:jc w:val="center"/>
        <w:rPr>
          <w:rFonts w:ascii="Arial" w:hAnsi="Arial" w:eastAsia="宋体" w:cs="Arial"/>
          <w:b/>
          <w:bCs/>
          <w:kern w:val="0"/>
          <w:sz w:val="24"/>
          <w:szCs w:val="20"/>
          <w:lang w:val="en-US" w:eastAsia="zh-CN" w:bidi="ar-SA"/>
        </w:rPr>
      </w:pPr>
      <w:r>
        <w:rPr>
          <w:rFonts w:hint="eastAsia" w:ascii="Arial" w:hAnsi="Arial" w:eastAsia="宋体" w:cs="Arial"/>
          <w:b/>
          <w:bCs/>
          <w:kern w:val="0"/>
          <w:sz w:val="24"/>
          <w:szCs w:val="20"/>
          <w:lang w:val="en-US" w:eastAsia="zh-CN" w:bidi="ar-SA"/>
        </w:rPr>
        <w:t>200元以下常规维修配件费用明细表（≥10个品种）</w:t>
      </w:r>
    </w:p>
    <w:tbl>
      <w:tblPr>
        <w:tblStyle w:val="25"/>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408"/>
        <w:gridCol w:w="6"/>
        <w:gridCol w:w="1554"/>
        <w:gridCol w:w="1260"/>
        <w:gridCol w:w="139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序号</w:t>
            </w:r>
          </w:p>
        </w:tc>
        <w:tc>
          <w:tcPr>
            <w:tcW w:w="240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配件名称</w:t>
            </w:r>
          </w:p>
        </w:tc>
        <w:tc>
          <w:tcPr>
            <w:tcW w:w="1560"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规格型号</w:t>
            </w:r>
          </w:p>
        </w:tc>
        <w:tc>
          <w:tcPr>
            <w:tcW w:w="126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品牌</w:t>
            </w:r>
          </w:p>
        </w:tc>
        <w:tc>
          <w:tcPr>
            <w:tcW w:w="139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产地</w:t>
            </w:r>
          </w:p>
        </w:tc>
        <w:tc>
          <w:tcPr>
            <w:tcW w:w="1500"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p>
        </w:tc>
        <w:tc>
          <w:tcPr>
            <w:tcW w:w="240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各种保险</w:t>
            </w:r>
          </w:p>
        </w:tc>
        <w:tc>
          <w:tcPr>
            <w:tcW w:w="1560"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250V1A</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2</w:t>
            </w:r>
          </w:p>
        </w:tc>
        <w:tc>
          <w:tcPr>
            <w:tcW w:w="240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控制柜运行按钮</w:t>
            </w:r>
          </w:p>
        </w:tc>
        <w:tc>
          <w:tcPr>
            <w:tcW w:w="1560"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LA42</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3</w:t>
            </w:r>
          </w:p>
        </w:tc>
        <w:tc>
          <w:tcPr>
            <w:tcW w:w="240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厅门触点</w:t>
            </w:r>
          </w:p>
        </w:tc>
        <w:tc>
          <w:tcPr>
            <w:tcW w:w="1560"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KM255217</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4</w:t>
            </w:r>
          </w:p>
        </w:tc>
        <w:tc>
          <w:tcPr>
            <w:tcW w:w="240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缓冲器开关</w:t>
            </w:r>
          </w:p>
        </w:tc>
        <w:tc>
          <w:tcPr>
            <w:tcW w:w="1560"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LX-26UKS</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5</w:t>
            </w:r>
          </w:p>
        </w:tc>
        <w:tc>
          <w:tcPr>
            <w:tcW w:w="240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底坑张紧轮开关</w:t>
            </w:r>
          </w:p>
        </w:tc>
        <w:tc>
          <w:tcPr>
            <w:tcW w:w="1560"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LX-26UKT</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6</w:t>
            </w:r>
          </w:p>
        </w:tc>
        <w:tc>
          <w:tcPr>
            <w:tcW w:w="240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应急灯炮</w:t>
            </w:r>
          </w:p>
        </w:tc>
        <w:tc>
          <w:tcPr>
            <w:tcW w:w="1560"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IED12V</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7</w:t>
            </w:r>
          </w:p>
        </w:tc>
        <w:tc>
          <w:tcPr>
            <w:tcW w:w="2408"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应急电池</w:t>
            </w:r>
          </w:p>
        </w:tc>
        <w:tc>
          <w:tcPr>
            <w:tcW w:w="1560"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RKP220D</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5" w:type="dxa"/>
          </w:tcPr>
          <w:p>
            <w:pPr>
              <w:spacing w:line="360" w:lineRule="auto"/>
              <w:ind w:left="108"/>
              <w:rPr>
                <w:rFonts w:hint="eastAsia" w:ascii="宋体" w:hAnsi="宋体" w:eastAsia="宋体" w:cs="宋体"/>
                <w:sz w:val="24"/>
                <w:szCs w:val="24"/>
              </w:rPr>
            </w:pPr>
            <w:r>
              <w:rPr>
                <w:rFonts w:hint="eastAsia" w:ascii="宋体" w:hAnsi="宋体" w:eastAsia="宋体" w:cs="宋体"/>
                <w:sz w:val="24"/>
                <w:szCs w:val="24"/>
              </w:rPr>
              <w:t>8</w:t>
            </w:r>
          </w:p>
        </w:tc>
        <w:tc>
          <w:tcPr>
            <w:tcW w:w="2414"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靴衬</w:t>
            </w:r>
          </w:p>
        </w:tc>
        <w:tc>
          <w:tcPr>
            <w:tcW w:w="155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120*16</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15" w:type="dxa"/>
          </w:tcPr>
          <w:p>
            <w:pPr>
              <w:spacing w:line="360" w:lineRule="auto"/>
              <w:ind w:left="108"/>
              <w:rPr>
                <w:rFonts w:hint="eastAsia" w:ascii="宋体" w:hAnsi="宋体" w:eastAsia="宋体" w:cs="宋体"/>
                <w:sz w:val="24"/>
                <w:szCs w:val="24"/>
              </w:rPr>
            </w:pPr>
            <w:r>
              <w:rPr>
                <w:rFonts w:hint="eastAsia" w:ascii="宋体" w:hAnsi="宋体" w:eastAsia="宋体" w:cs="宋体"/>
                <w:sz w:val="24"/>
                <w:szCs w:val="24"/>
              </w:rPr>
              <w:t>9</w:t>
            </w:r>
          </w:p>
        </w:tc>
        <w:tc>
          <w:tcPr>
            <w:tcW w:w="2414"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厅门滑块</w:t>
            </w:r>
          </w:p>
        </w:tc>
        <w:tc>
          <w:tcPr>
            <w:tcW w:w="155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尼龙</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15" w:type="dxa"/>
          </w:tcPr>
          <w:p>
            <w:pPr>
              <w:spacing w:line="360" w:lineRule="auto"/>
              <w:ind w:left="108"/>
              <w:rPr>
                <w:rFonts w:hint="eastAsia" w:ascii="宋体" w:hAnsi="宋体" w:eastAsia="宋体" w:cs="宋体"/>
                <w:sz w:val="24"/>
                <w:szCs w:val="24"/>
              </w:rPr>
            </w:pPr>
            <w:r>
              <w:rPr>
                <w:rFonts w:hint="eastAsia" w:ascii="宋体" w:hAnsi="宋体" w:eastAsia="宋体" w:cs="宋体"/>
                <w:sz w:val="24"/>
                <w:szCs w:val="24"/>
              </w:rPr>
              <w:t>10</w:t>
            </w:r>
          </w:p>
        </w:tc>
        <w:tc>
          <w:tcPr>
            <w:tcW w:w="2414"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油盒</w:t>
            </w:r>
          </w:p>
        </w:tc>
        <w:tc>
          <w:tcPr>
            <w:tcW w:w="155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DS-T04</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5" w:type="dxa"/>
          </w:tcPr>
          <w:p>
            <w:pPr>
              <w:spacing w:line="360" w:lineRule="auto"/>
              <w:ind w:left="108"/>
              <w:rPr>
                <w:rFonts w:hint="eastAsia" w:ascii="宋体" w:hAnsi="宋体" w:eastAsia="宋体" w:cs="宋体"/>
                <w:sz w:val="24"/>
                <w:szCs w:val="24"/>
              </w:rPr>
            </w:pPr>
            <w:r>
              <w:rPr>
                <w:rFonts w:hint="eastAsia" w:ascii="宋体" w:hAnsi="宋体" w:eastAsia="宋体" w:cs="宋体"/>
                <w:sz w:val="24"/>
                <w:szCs w:val="24"/>
              </w:rPr>
              <w:t>11</w:t>
            </w:r>
          </w:p>
        </w:tc>
        <w:tc>
          <w:tcPr>
            <w:tcW w:w="2414"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门锁</w:t>
            </w:r>
          </w:p>
        </w:tc>
        <w:tc>
          <w:tcPr>
            <w:tcW w:w="155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161型</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5" w:type="dxa"/>
          </w:tcPr>
          <w:p>
            <w:pPr>
              <w:spacing w:line="360" w:lineRule="auto"/>
              <w:ind w:left="108"/>
              <w:rPr>
                <w:rFonts w:hint="eastAsia" w:ascii="宋体" w:hAnsi="宋体" w:eastAsia="宋体" w:cs="宋体"/>
                <w:sz w:val="24"/>
                <w:szCs w:val="24"/>
              </w:rPr>
            </w:pPr>
            <w:r>
              <w:rPr>
                <w:rFonts w:hint="eastAsia" w:ascii="宋体" w:hAnsi="宋体" w:eastAsia="宋体" w:cs="宋体"/>
                <w:sz w:val="24"/>
                <w:szCs w:val="24"/>
              </w:rPr>
              <w:t>12</w:t>
            </w:r>
          </w:p>
        </w:tc>
        <w:tc>
          <w:tcPr>
            <w:tcW w:w="2414"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行程开关</w:t>
            </w:r>
          </w:p>
        </w:tc>
        <w:tc>
          <w:tcPr>
            <w:tcW w:w="155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DS-131</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15" w:type="dxa"/>
          </w:tcPr>
          <w:p>
            <w:pPr>
              <w:spacing w:line="360" w:lineRule="auto"/>
              <w:ind w:left="108"/>
              <w:rPr>
                <w:rFonts w:hint="eastAsia" w:ascii="宋体" w:hAnsi="宋体" w:eastAsia="宋体" w:cs="宋体"/>
                <w:sz w:val="24"/>
                <w:szCs w:val="24"/>
              </w:rPr>
            </w:pPr>
            <w:r>
              <w:rPr>
                <w:rFonts w:hint="eastAsia" w:ascii="宋体" w:hAnsi="宋体" w:eastAsia="宋体" w:cs="宋体"/>
                <w:sz w:val="24"/>
                <w:szCs w:val="24"/>
              </w:rPr>
              <w:t>13</w:t>
            </w:r>
          </w:p>
        </w:tc>
        <w:tc>
          <w:tcPr>
            <w:tcW w:w="2414" w:type="dxa"/>
            <w:gridSpan w:val="2"/>
          </w:tcPr>
          <w:p>
            <w:pPr>
              <w:spacing w:line="360" w:lineRule="auto"/>
              <w:rPr>
                <w:rFonts w:hint="eastAsia" w:ascii="宋体" w:hAnsi="宋体" w:eastAsia="宋体" w:cs="宋体"/>
                <w:sz w:val="24"/>
                <w:szCs w:val="24"/>
              </w:rPr>
            </w:pPr>
            <w:r>
              <w:rPr>
                <w:rFonts w:hint="eastAsia" w:ascii="宋体" w:hAnsi="宋体" w:eastAsia="宋体" w:cs="宋体"/>
                <w:sz w:val="24"/>
                <w:szCs w:val="24"/>
              </w:rPr>
              <w:t>横流风机</w:t>
            </w:r>
          </w:p>
        </w:tc>
        <w:tc>
          <w:tcPr>
            <w:tcW w:w="1554" w:type="dxa"/>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ZQF330 </w:t>
            </w:r>
          </w:p>
        </w:tc>
        <w:tc>
          <w:tcPr>
            <w:tcW w:w="1260" w:type="dxa"/>
          </w:tcPr>
          <w:p>
            <w:pPr>
              <w:spacing w:line="360" w:lineRule="auto"/>
              <w:rPr>
                <w:rFonts w:hint="eastAsia" w:ascii="宋体" w:hAnsi="宋体" w:eastAsia="宋体" w:cs="宋体"/>
                <w:sz w:val="24"/>
                <w:szCs w:val="24"/>
              </w:rPr>
            </w:pPr>
          </w:p>
        </w:tc>
        <w:tc>
          <w:tcPr>
            <w:tcW w:w="1395" w:type="dxa"/>
          </w:tcPr>
          <w:p>
            <w:pPr>
              <w:spacing w:line="360" w:lineRule="auto"/>
              <w:rPr>
                <w:rFonts w:hint="eastAsia" w:ascii="宋体" w:hAnsi="宋体" w:eastAsia="宋体" w:cs="宋体"/>
                <w:sz w:val="24"/>
                <w:szCs w:val="24"/>
              </w:rPr>
            </w:pPr>
          </w:p>
        </w:tc>
        <w:tc>
          <w:tcPr>
            <w:tcW w:w="1500" w:type="dxa"/>
          </w:tcPr>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备注：200元以下配件</w:t>
      </w:r>
      <w:r>
        <w:rPr>
          <w:rFonts w:hint="eastAsia" w:ascii="宋体" w:hAnsi="宋体" w:eastAsia="宋体" w:cs="宋体"/>
          <w:b/>
          <w:bCs/>
          <w:sz w:val="24"/>
          <w:szCs w:val="24"/>
          <w:lang w:eastAsia="zh-CN"/>
        </w:rPr>
        <w:t>由供应商</w:t>
      </w:r>
      <w:r>
        <w:rPr>
          <w:rFonts w:hint="eastAsia" w:ascii="宋体" w:hAnsi="宋体" w:eastAsia="宋体" w:cs="宋体"/>
          <w:b/>
          <w:bCs/>
          <w:sz w:val="24"/>
          <w:szCs w:val="24"/>
        </w:rPr>
        <w:t>免费提供</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附件3               </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200元以上常用三星品牌电梯电子部件（配件）明细表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2692"/>
        <w:gridCol w:w="979"/>
        <w:gridCol w:w="2313"/>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16" w:type="dxa"/>
            <w:vAlign w:val="center"/>
          </w:tcPr>
          <w:p>
            <w:pPr>
              <w:spacing w:line="72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92" w:type="dxa"/>
            <w:vAlign w:val="center"/>
          </w:tcPr>
          <w:p>
            <w:pPr>
              <w:spacing w:line="720" w:lineRule="auto"/>
              <w:jc w:val="center"/>
              <w:rPr>
                <w:rFonts w:hint="eastAsia" w:ascii="宋体" w:hAnsi="宋体" w:eastAsia="宋体" w:cs="宋体"/>
                <w:sz w:val="24"/>
                <w:szCs w:val="24"/>
              </w:rPr>
            </w:pPr>
            <w:r>
              <w:rPr>
                <w:rFonts w:hint="eastAsia" w:ascii="宋体" w:hAnsi="宋体" w:eastAsia="宋体" w:cs="宋体"/>
                <w:sz w:val="24"/>
                <w:szCs w:val="24"/>
              </w:rPr>
              <w:t>配件名称</w:t>
            </w:r>
          </w:p>
        </w:tc>
        <w:tc>
          <w:tcPr>
            <w:tcW w:w="979" w:type="dxa"/>
            <w:vAlign w:val="center"/>
          </w:tcPr>
          <w:p>
            <w:pPr>
              <w:spacing w:line="72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2313"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价格（元）</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含人工调试费</w:t>
            </w:r>
          </w:p>
        </w:tc>
        <w:tc>
          <w:tcPr>
            <w:tcW w:w="1725" w:type="dxa"/>
            <w:vAlign w:val="center"/>
          </w:tcPr>
          <w:p>
            <w:pPr>
              <w:spacing w:line="720" w:lineRule="auto"/>
              <w:jc w:val="center"/>
              <w:rPr>
                <w:rFonts w:hint="eastAsia" w:ascii="宋体" w:hAnsi="宋体" w:eastAsia="宋体" w:cs="宋体"/>
                <w:sz w:val="24"/>
                <w:szCs w:val="24"/>
              </w:rPr>
            </w:pPr>
            <w:r>
              <w:rPr>
                <w:rFonts w:hint="eastAsia" w:ascii="宋体" w:hAnsi="宋体" w:eastAsia="宋体" w:cs="宋体"/>
                <w:sz w:val="24"/>
                <w:szCs w:val="24"/>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主板(电脑板)</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块</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主机变频器</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外呼板</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块</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控制柜通讯板</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块</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3000（两块）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轿顶通讯板</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块</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光幕</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门机变频器</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2313" w:type="dxa"/>
          </w:tcPr>
          <w:p>
            <w:pPr>
              <w:spacing w:line="360" w:lineRule="auto"/>
              <w:rPr>
                <w:rFonts w:hint="eastAsia" w:ascii="宋体" w:hAnsi="宋体" w:eastAsia="宋体" w:cs="宋体"/>
                <w:color w:val="FF0000"/>
                <w:sz w:val="24"/>
                <w:szCs w:val="24"/>
              </w:rPr>
            </w:pPr>
          </w:p>
        </w:tc>
        <w:tc>
          <w:tcPr>
            <w:tcW w:w="1725" w:type="dxa"/>
            <w:vAlign w:val="center"/>
          </w:tcPr>
          <w:p>
            <w:pPr>
              <w:spacing w:line="360" w:lineRule="auto"/>
              <w:jc w:val="center"/>
              <w:rPr>
                <w:rFonts w:hint="eastAsia" w:ascii="宋体" w:hAnsi="宋体" w:eastAsia="宋体" w:cs="宋体"/>
                <w:color w:val="FF0000"/>
                <w:sz w:val="24"/>
                <w:szCs w:val="24"/>
              </w:rPr>
            </w:pPr>
            <w:bookmarkStart w:id="16" w:name="_GoBack"/>
            <w:r>
              <w:rPr>
                <w:rFonts w:hint="eastAsia" w:ascii="宋体" w:hAnsi="宋体" w:eastAsia="宋体" w:cs="宋体"/>
                <w:color w:val="auto"/>
                <w:sz w:val="24"/>
                <w:szCs w:val="24"/>
              </w:rPr>
              <w:t>6600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门机电动机</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门机</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安全回路板</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快</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控制屏显示板</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块</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平层感应器</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轿内显示板</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块</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主机编码器</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门机编码器</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69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变压器</w:t>
            </w:r>
          </w:p>
        </w:tc>
        <w:tc>
          <w:tcPr>
            <w:tcW w:w="97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313" w:type="dxa"/>
          </w:tcPr>
          <w:p>
            <w:pPr>
              <w:spacing w:line="360" w:lineRule="auto"/>
              <w:rPr>
                <w:rFonts w:hint="eastAsia" w:ascii="宋体" w:hAnsi="宋体" w:eastAsia="宋体" w:cs="宋体"/>
                <w:sz w:val="24"/>
                <w:szCs w:val="24"/>
              </w:rPr>
            </w:pPr>
          </w:p>
        </w:tc>
        <w:tc>
          <w:tcPr>
            <w:tcW w:w="1725"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w:t>
            </w:r>
          </w:p>
        </w:tc>
      </w:tr>
    </w:tbl>
    <w:p>
      <w:pPr>
        <w:spacing w:line="360" w:lineRule="auto"/>
      </w:pPr>
    </w:p>
    <w:p>
      <w:pPr>
        <w:spacing w:line="360" w:lineRule="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注：以上所报价格（含人工调试费）不得高于限价，否则作无效响应处理。</w:t>
      </w:r>
    </w:p>
    <w:p>
      <w:pPr>
        <w:spacing w:line="360" w:lineRule="auto"/>
      </w:pPr>
    </w:p>
    <w:p>
      <w:pPr>
        <w:spacing w:line="360" w:lineRule="auto"/>
      </w:pPr>
    </w:p>
    <w:p>
      <w:pPr>
        <w:spacing w:line="360" w:lineRule="auto"/>
      </w:pPr>
    </w:p>
    <w:p>
      <w:pPr>
        <w:rPr>
          <w:rFonts w:hint="eastAsia"/>
        </w:rPr>
      </w:pPr>
      <w:r>
        <w:rPr>
          <w:rFonts w:hint="eastAsia"/>
        </w:rPr>
        <w:br w:type="page"/>
      </w:r>
    </w:p>
    <w:p>
      <w:pPr>
        <w:spacing w:line="360" w:lineRule="auto"/>
        <w:rPr>
          <w:rFonts w:hint="eastAsia" w:ascii="宋体" w:hAnsi="宋体" w:eastAsia="宋体" w:cs="宋体"/>
          <w:sz w:val="24"/>
          <w:szCs w:val="24"/>
        </w:rPr>
      </w:pPr>
      <w:r>
        <w:rPr>
          <w:rFonts w:hint="eastAsia" w:ascii="宋体" w:hAnsi="宋体" w:eastAsia="宋体" w:cs="宋体"/>
          <w:sz w:val="24"/>
          <w:szCs w:val="24"/>
        </w:rPr>
        <w:t>附件4</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200元以上常用三星品牌电梯机械部件（配件）明细表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2352"/>
        <w:gridCol w:w="930"/>
        <w:gridCol w:w="249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72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352" w:type="dxa"/>
            <w:vAlign w:val="center"/>
          </w:tcPr>
          <w:p>
            <w:pPr>
              <w:spacing w:line="720" w:lineRule="auto"/>
              <w:jc w:val="center"/>
              <w:rPr>
                <w:rFonts w:hint="eastAsia" w:ascii="宋体" w:hAnsi="宋体" w:eastAsia="宋体" w:cs="宋体"/>
                <w:sz w:val="24"/>
                <w:szCs w:val="24"/>
              </w:rPr>
            </w:pPr>
            <w:r>
              <w:rPr>
                <w:rFonts w:hint="eastAsia" w:ascii="宋体" w:hAnsi="宋体" w:eastAsia="宋体" w:cs="宋体"/>
                <w:sz w:val="24"/>
                <w:szCs w:val="24"/>
              </w:rPr>
              <w:t>配件名称</w:t>
            </w:r>
          </w:p>
        </w:tc>
        <w:tc>
          <w:tcPr>
            <w:tcW w:w="930" w:type="dxa"/>
            <w:vAlign w:val="center"/>
          </w:tcPr>
          <w:p>
            <w:pPr>
              <w:spacing w:line="72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249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价格（元）</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含人工调试费</w:t>
            </w:r>
          </w:p>
        </w:tc>
        <w:tc>
          <w:tcPr>
            <w:tcW w:w="1980" w:type="dxa"/>
            <w:vAlign w:val="center"/>
          </w:tcPr>
          <w:p>
            <w:pPr>
              <w:spacing w:line="720" w:lineRule="auto"/>
              <w:jc w:val="center"/>
              <w:rPr>
                <w:rFonts w:hint="eastAsia" w:ascii="宋体" w:hAnsi="宋体" w:eastAsia="宋体" w:cs="宋体"/>
                <w:sz w:val="24"/>
                <w:szCs w:val="24"/>
              </w:rPr>
            </w:pPr>
            <w:r>
              <w:rPr>
                <w:rFonts w:hint="eastAsia" w:ascii="宋体" w:hAnsi="宋体" w:eastAsia="宋体" w:cs="宋体"/>
                <w:sz w:val="24"/>
                <w:szCs w:val="24"/>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接触器</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抱闸</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导向轮</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曳引轮</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厅门上坎</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厅门下坎</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门吊</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门刀</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导靴</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厅门</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扇</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轿顶轮</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轿箱门</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扇</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缓冲器</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涨紧轮</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限速器</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摩擦轮</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三角称轴承</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扶手带</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米</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扶手带驱动链（双排链）</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条</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梯级链</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1"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2352"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曳引钢丝绳Ф8</w:t>
            </w:r>
          </w:p>
        </w:tc>
        <w:tc>
          <w:tcPr>
            <w:tcW w:w="93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米</w:t>
            </w:r>
          </w:p>
        </w:tc>
        <w:tc>
          <w:tcPr>
            <w:tcW w:w="2490" w:type="dxa"/>
            <w:vAlign w:val="center"/>
          </w:tcPr>
          <w:p>
            <w:pPr>
              <w:spacing w:line="360" w:lineRule="auto"/>
              <w:jc w:val="center"/>
              <w:rPr>
                <w:rFonts w:hint="eastAsia" w:ascii="宋体" w:hAnsi="宋体" w:eastAsia="宋体" w:cs="宋体"/>
                <w:sz w:val="24"/>
                <w:szCs w:val="24"/>
              </w:rPr>
            </w:pPr>
          </w:p>
        </w:tc>
        <w:tc>
          <w:tcPr>
            <w:tcW w:w="198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r>
    </w:tbl>
    <w:p>
      <w:pPr>
        <w:spacing w:line="360" w:lineRule="auto"/>
        <w:rPr>
          <w:color w:val="auto"/>
        </w:rPr>
      </w:pPr>
      <w:r>
        <w:rPr>
          <w:rFonts w:hint="eastAsia" w:ascii="宋体" w:hAnsi="宋体" w:eastAsia="宋体" w:cs="宋体"/>
          <w:b/>
          <w:bCs/>
          <w:color w:val="auto"/>
          <w:sz w:val="24"/>
          <w:szCs w:val="24"/>
          <w:lang w:eastAsia="zh-CN"/>
        </w:rPr>
        <w:t>注：以上所报价格（含人工调试费）不得高于限价，否则作无效响应处理。</w:t>
      </w:r>
    </w:p>
    <w:p>
      <w:pPr>
        <w:rPr>
          <w:rFonts w:hint="eastAsia" w:ascii="Times New Roman" w:hAnsi="Times New Roman" w:eastAsia="宋体"/>
          <w:b/>
          <w:sz w:val="24"/>
          <w:szCs w:val="24"/>
          <w:lang w:val="en-US" w:eastAsia="zh-CN"/>
        </w:rPr>
      </w:pPr>
    </w:p>
    <w:p>
      <w:pPr>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E85793"/>
    <w:multiLevelType w:val="singleLevel"/>
    <w:tmpl w:val="FAE85793"/>
    <w:lvl w:ilvl="0" w:tentative="0">
      <w:start w:val="1"/>
      <w:numFmt w:val="decimal"/>
      <w:suff w:val="nothing"/>
      <w:lvlText w:val="%1、"/>
      <w:lvlJc w:val="left"/>
    </w:lvl>
  </w:abstractNum>
  <w:abstractNum w:abstractNumId="1">
    <w:nsid w:val="0C36800F"/>
    <w:multiLevelType w:val="singleLevel"/>
    <w:tmpl w:val="0C36800F"/>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D3170"/>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15C4CBF"/>
    <w:rsid w:val="0232372D"/>
    <w:rsid w:val="03A83A42"/>
    <w:rsid w:val="03E379A2"/>
    <w:rsid w:val="041E22FB"/>
    <w:rsid w:val="0475016D"/>
    <w:rsid w:val="0A5D1C72"/>
    <w:rsid w:val="0A727010"/>
    <w:rsid w:val="0BE5207C"/>
    <w:rsid w:val="0CD77836"/>
    <w:rsid w:val="0E6C4D9F"/>
    <w:rsid w:val="10E548CC"/>
    <w:rsid w:val="10EF15A7"/>
    <w:rsid w:val="115B540E"/>
    <w:rsid w:val="133E3283"/>
    <w:rsid w:val="139A7BF0"/>
    <w:rsid w:val="14EA7E81"/>
    <w:rsid w:val="151421A8"/>
    <w:rsid w:val="155F3D53"/>
    <w:rsid w:val="157C1E87"/>
    <w:rsid w:val="159468C1"/>
    <w:rsid w:val="15C2217E"/>
    <w:rsid w:val="15F6320B"/>
    <w:rsid w:val="16593DC0"/>
    <w:rsid w:val="17BF578A"/>
    <w:rsid w:val="18117D55"/>
    <w:rsid w:val="18263421"/>
    <w:rsid w:val="197565C6"/>
    <w:rsid w:val="1B4F155D"/>
    <w:rsid w:val="1C503906"/>
    <w:rsid w:val="1E163551"/>
    <w:rsid w:val="1F0C4400"/>
    <w:rsid w:val="1F8E2FE8"/>
    <w:rsid w:val="203A77C4"/>
    <w:rsid w:val="21B43D41"/>
    <w:rsid w:val="224E366C"/>
    <w:rsid w:val="2335285B"/>
    <w:rsid w:val="252E676F"/>
    <w:rsid w:val="272A0E68"/>
    <w:rsid w:val="274D0351"/>
    <w:rsid w:val="27DE22E9"/>
    <w:rsid w:val="28885E11"/>
    <w:rsid w:val="29C97C61"/>
    <w:rsid w:val="2B9F25ED"/>
    <w:rsid w:val="2BD6675A"/>
    <w:rsid w:val="2C5A6960"/>
    <w:rsid w:val="2C6E5A4D"/>
    <w:rsid w:val="2CC8252C"/>
    <w:rsid w:val="2CCE28B7"/>
    <w:rsid w:val="2DD824AC"/>
    <w:rsid w:val="2E672C1C"/>
    <w:rsid w:val="2F837332"/>
    <w:rsid w:val="30A401EF"/>
    <w:rsid w:val="322E658F"/>
    <w:rsid w:val="32347FCD"/>
    <w:rsid w:val="32593CE2"/>
    <w:rsid w:val="32D85BE7"/>
    <w:rsid w:val="3329796B"/>
    <w:rsid w:val="34700A2F"/>
    <w:rsid w:val="35CB4299"/>
    <w:rsid w:val="36161DCC"/>
    <w:rsid w:val="366867C2"/>
    <w:rsid w:val="38594DC9"/>
    <w:rsid w:val="388D2136"/>
    <w:rsid w:val="396E11A3"/>
    <w:rsid w:val="3A3E6499"/>
    <w:rsid w:val="3AAB1168"/>
    <w:rsid w:val="3C2C44E9"/>
    <w:rsid w:val="3DA05553"/>
    <w:rsid w:val="3DEA6E32"/>
    <w:rsid w:val="3DF31169"/>
    <w:rsid w:val="3E246184"/>
    <w:rsid w:val="3EF274D2"/>
    <w:rsid w:val="3FBC10C9"/>
    <w:rsid w:val="401C35B7"/>
    <w:rsid w:val="40423602"/>
    <w:rsid w:val="42024E02"/>
    <w:rsid w:val="420764B5"/>
    <w:rsid w:val="425D1C65"/>
    <w:rsid w:val="42672AE3"/>
    <w:rsid w:val="440A15A0"/>
    <w:rsid w:val="448734FB"/>
    <w:rsid w:val="4561465A"/>
    <w:rsid w:val="47693BAF"/>
    <w:rsid w:val="482C45B3"/>
    <w:rsid w:val="486E3206"/>
    <w:rsid w:val="48FE0BAD"/>
    <w:rsid w:val="49727F94"/>
    <w:rsid w:val="49DC3654"/>
    <w:rsid w:val="4B840262"/>
    <w:rsid w:val="4BE75A2A"/>
    <w:rsid w:val="4C510AF8"/>
    <w:rsid w:val="4E46218F"/>
    <w:rsid w:val="4FC139BA"/>
    <w:rsid w:val="5035522F"/>
    <w:rsid w:val="53A23A14"/>
    <w:rsid w:val="542A6B2C"/>
    <w:rsid w:val="544F229E"/>
    <w:rsid w:val="55385BD7"/>
    <w:rsid w:val="56E5418D"/>
    <w:rsid w:val="584274DB"/>
    <w:rsid w:val="5A4C01FF"/>
    <w:rsid w:val="5A91106B"/>
    <w:rsid w:val="5B02520C"/>
    <w:rsid w:val="5BD838E7"/>
    <w:rsid w:val="5BD91F04"/>
    <w:rsid w:val="5C855626"/>
    <w:rsid w:val="60480F23"/>
    <w:rsid w:val="61946007"/>
    <w:rsid w:val="633D4A8B"/>
    <w:rsid w:val="64191A38"/>
    <w:rsid w:val="64ED5461"/>
    <w:rsid w:val="64FB113D"/>
    <w:rsid w:val="658F2EA6"/>
    <w:rsid w:val="659772A6"/>
    <w:rsid w:val="6742329A"/>
    <w:rsid w:val="675F7512"/>
    <w:rsid w:val="68A31FFC"/>
    <w:rsid w:val="68A84122"/>
    <w:rsid w:val="68AD6BF3"/>
    <w:rsid w:val="696E2E35"/>
    <w:rsid w:val="6A721EA2"/>
    <w:rsid w:val="6C1132E7"/>
    <w:rsid w:val="6D600F61"/>
    <w:rsid w:val="6E9616EC"/>
    <w:rsid w:val="6F3A3EBA"/>
    <w:rsid w:val="700D0A38"/>
    <w:rsid w:val="707A560C"/>
    <w:rsid w:val="712D5BF6"/>
    <w:rsid w:val="71AD12AD"/>
    <w:rsid w:val="71EA5EF0"/>
    <w:rsid w:val="720C2DA1"/>
    <w:rsid w:val="72BF1288"/>
    <w:rsid w:val="73392B0C"/>
    <w:rsid w:val="75363ACC"/>
    <w:rsid w:val="762F76F3"/>
    <w:rsid w:val="76876CD5"/>
    <w:rsid w:val="76B22FC1"/>
    <w:rsid w:val="79173AC2"/>
    <w:rsid w:val="798C7570"/>
    <w:rsid w:val="7B0A1E99"/>
    <w:rsid w:val="7B85422E"/>
    <w:rsid w:val="7C1A2204"/>
    <w:rsid w:val="7C462374"/>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3">
    <w:name w:val="heading 2"/>
    <w:basedOn w:val="1"/>
    <w:next w:val="1"/>
    <w:link w:val="45"/>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4">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43"/>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6">
    <w:name w:val="Document Map"/>
    <w:basedOn w:val="1"/>
    <w:link w:val="46"/>
    <w:autoRedefine/>
    <w:semiHidden/>
    <w:unhideWhenUsed/>
    <w:qFormat/>
    <w:uiPriority w:val="99"/>
    <w:rPr>
      <w:rFonts w:ascii="宋体" w:eastAsia="宋体"/>
      <w:sz w:val="18"/>
      <w:szCs w:val="18"/>
    </w:rPr>
  </w:style>
  <w:style w:type="paragraph" w:styleId="7">
    <w:name w:val="toa heading"/>
    <w:basedOn w:val="1"/>
    <w:next w:val="1"/>
    <w:autoRedefine/>
    <w:qFormat/>
    <w:uiPriority w:val="0"/>
    <w:rPr>
      <w:rFonts w:ascii="Arial" w:hAnsi="Arial" w:eastAsia="宋体" w:cs="Times New Roman"/>
      <w:sz w:val="24"/>
      <w:szCs w:val="21"/>
    </w:rPr>
  </w:style>
  <w:style w:type="paragraph" w:styleId="8">
    <w:name w:val="annotation text"/>
    <w:basedOn w:val="1"/>
    <w:link w:val="49"/>
    <w:autoRedefine/>
    <w:semiHidden/>
    <w:unhideWhenUsed/>
    <w:qFormat/>
    <w:uiPriority w:val="99"/>
    <w:pPr>
      <w:jc w:val="left"/>
    </w:pPr>
  </w:style>
  <w:style w:type="paragraph" w:styleId="9">
    <w:name w:val="Body Text"/>
    <w:basedOn w:val="1"/>
    <w:autoRedefine/>
    <w:qFormat/>
    <w:uiPriority w:val="0"/>
    <w:rPr>
      <w:rFonts w:ascii="楷体_GB2312" w:hAnsi="Arial" w:eastAsia="楷体_GB2312"/>
      <w:sz w:val="28"/>
      <w:szCs w:val="28"/>
    </w:rPr>
  </w:style>
  <w:style w:type="paragraph" w:styleId="10">
    <w:name w:val="Body Text Indent"/>
    <w:basedOn w:val="1"/>
    <w:next w:val="11"/>
    <w:autoRedefine/>
    <w:semiHidden/>
    <w:unhideWhenUsed/>
    <w:qFormat/>
    <w:uiPriority w:val="99"/>
    <w:pPr>
      <w:spacing w:after="120"/>
      <w:ind w:left="420" w:leftChars="200"/>
    </w:pPr>
  </w:style>
  <w:style w:type="paragraph" w:styleId="11">
    <w:name w:val="envelope return"/>
    <w:basedOn w:val="1"/>
    <w:autoRedefine/>
    <w:unhideWhenUsed/>
    <w:qFormat/>
    <w:uiPriority w:val="99"/>
    <w:pPr>
      <w:snapToGrid w:val="0"/>
    </w:pPr>
    <w:rPr>
      <w:rFonts w:ascii="Arial" w:hAnsi="Arial" w:eastAsia="楷体_GB2312" w:cs="Times New Roman"/>
      <w:sz w:val="26"/>
      <w:szCs w:val="20"/>
    </w:rPr>
  </w:style>
  <w:style w:type="paragraph" w:styleId="12">
    <w:name w:val="index 4"/>
    <w:basedOn w:val="1"/>
    <w:next w:val="1"/>
    <w:autoRedefine/>
    <w:qFormat/>
    <w:uiPriority w:val="0"/>
    <w:pPr>
      <w:ind w:left="1260"/>
    </w:pPr>
    <w:rPr>
      <w:rFonts w:ascii="Calibri" w:hAnsi="Calibri" w:eastAsia="宋体" w:cs="Times New Roman"/>
      <w:szCs w:val="20"/>
    </w:rPr>
  </w:style>
  <w:style w:type="paragraph" w:styleId="13">
    <w:name w:val="toc 3"/>
    <w:basedOn w:val="1"/>
    <w:next w:val="1"/>
    <w:autoRedefine/>
    <w:qFormat/>
    <w:uiPriority w:val="0"/>
    <w:pPr>
      <w:ind w:left="840" w:leftChars="400"/>
    </w:pPr>
    <w:rPr>
      <w:rFonts w:ascii="Calibri" w:hAnsi="Calibri" w:eastAsia="宋体" w:cs="Times New Roman"/>
      <w:szCs w:val="20"/>
    </w:rPr>
  </w:style>
  <w:style w:type="paragraph" w:styleId="14">
    <w:name w:val="Plain Text"/>
    <w:basedOn w:val="1"/>
    <w:link w:val="55"/>
    <w:autoRedefine/>
    <w:qFormat/>
    <w:uiPriority w:val="99"/>
    <w:rPr>
      <w:rFonts w:ascii="宋体" w:hAnsi="Courier New" w:eastAsia="宋体" w:cs="Times New Roman"/>
      <w:szCs w:val="20"/>
    </w:rPr>
  </w:style>
  <w:style w:type="paragraph" w:styleId="15">
    <w:name w:val="Balloon Text"/>
    <w:basedOn w:val="1"/>
    <w:link w:val="48"/>
    <w:autoRedefine/>
    <w:semiHidden/>
    <w:unhideWhenUsed/>
    <w:qFormat/>
    <w:uiPriority w:val="99"/>
    <w:rPr>
      <w:sz w:val="18"/>
      <w:szCs w:val="18"/>
    </w:rPr>
  </w:style>
  <w:style w:type="paragraph" w:styleId="16">
    <w:name w:val="footer"/>
    <w:basedOn w:val="1"/>
    <w:link w:val="42"/>
    <w:autoRedefine/>
    <w:unhideWhenUsed/>
    <w:qFormat/>
    <w:uiPriority w:val="99"/>
    <w:pPr>
      <w:tabs>
        <w:tab w:val="center" w:pos="4153"/>
        <w:tab w:val="right" w:pos="8306"/>
      </w:tabs>
      <w:snapToGrid w:val="0"/>
      <w:jc w:val="left"/>
    </w:pPr>
    <w:rPr>
      <w:sz w:val="18"/>
      <w:szCs w:val="18"/>
    </w:rPr>
  </w:style>
  <w:style w:type="paragraph" w:styleId="17">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19">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0">
    <w:name w:val="Title"/>
    <w:basedOn w:val="1"/>
    <w:next w:val="1"/>
    <w:autoRedefine/>
    <w:qFormat/>
    <w:uiPriority w:val="10"/>
    <w:pPr>
      <w:autoSpaceDE/>
      <w:autoSpaceDN/>
      <w:adjustRightInd/>
      <w:spacing w:before="240" w:beforeLines="0" w:after="60" w:afterLines="0" w:line="360" w:lineRule="auto"/>
      <w:ind w:firstLine="643"/>
      <w:jc w:val="center"/>
      <w:outlineLvl w:val="0"/>
    </w:pPr>
    <w:rPr>
      <w:rFonts w:hint="eastAsia" w:ascii="Cambria" w:hAnsi="Cambria" w:cs="Times New Roman"/>
      <w:b/>
      <w:kern w:val="2"/>
      <w:sz w:val="44"/>
      <w:szCs w:val="32"/>
    </w:rPr>
  </w:style>
  <w:style w:type="paragraph" w:styleId="21">
    <w:name w:val="annotation subject"/>
    <w:basedOn w:val="8"/>
    <w:next w:val="8"/>
    <w:link w:val="50"/>
    <w:autoRedefine/>
    <w:semiHidden/>
    <w:unhideWhenUsed/>
    <w:qFormat/>
    <w:uiPriority w:val="99"/>
    <w:rPr>
      <w:b/>
      <w:bCs/>
    </w:rPr>
  </w:style>
  <w:style w:type="paragraph" w:styleId="22">
    <w:name w:val="Body Text First Indent"/>
    <w:basedOn w:val="1"/>
    <w:next w:val="1"/>
    <w:autoRedefine/>
    <w:unhideWhenUsed/>
    <w:qFormat/>
    <w:uiPriority w:val="99"/>
    <w:pPr>
      <w:ind w:firstLine="420" w:firstLineChars="100"/>
    </w:pPr>
  </w:style>
  <w:style w:type="paragraph" w:styleId="23">
    <w:name w:val="Body Text First Indent 2"/>
    <w:basedOn w:val="10"/>
    <w:autoRedefine/>
    <w:unhideWhenUsed/>
    <w:qFormat/>
    <w:uiPriority w:val="99"/>
    <w:pPr>
      <w:ind w:firstLine="420" w:firstLineChars="200"/>
    </w:pPr>
  </w:style>
  <w:style w:type="table" w:styleId="25">
    <w:name w:val="Table Grid"/>
    <w:basedOn w:val="2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none"/>
    </w:rPr>
  </w:style>
  <w:style w:type="character" w:styleId="28">
    <w:name w:val="HTML Definition"/>
    <w:basedOn w:val="26"/>
    <w:autoRedefine/>
    <w:semiHidden/>
    <w:unhideWhenUsed/>
    <w:qFormat/>
    <w:uiPriority w:val="99"/>
  </w:style>
  <w:style w:type="character" w:styleId="29">
    <w:name w:val="HTML Typewriter"/>
    <w:basedOn w:val="26"/>
    <w:autoRedefine/>
    <w:semiHidden/>
    <w:unhideWhenUsed/>
    <w:qFormat/>
    <w:uiPriority w:val="99"/>
    <w:rPr>
      <w:rFonts w:ascii="monospace" w:hAnsi="monospace" w:eastAsia="monospace" w:cs="monospace"/>
      <w:sz w:val="20"/>
    </w:rPr>
  </w:style>
  <w:style w:type="character" w:styleId="30">
    <w:name w:val="HTML Acronym"/>
    <w:basedOn w:val="26"/>
    <w:autoRedefine/>
    <w:semiHidden/>
    <w:unhideWhenUsed/>
    <w:qFormat/>
    <w:uiPriority w:val="99"/>
  </w:style>
  <w:style w:type="character" w:styleId="31">
    <w:name w:val="HTML Variable"/>
    <w:basedOn w:val="26"/>
    <w:autoRedefine/>
    <w:semiHidden/>
    <w:unhideWhenUsed/>
    <w:qFormat/>
    <w:uiPriority w:val="99"/>
  </w:style>
  <w:style w:type="character" w:styleId="32">
    <w:name w:val="Hyperlink"/>
    <w:basedOn w:val="26"/>
    <w:autoRedefine/>
    <w:unhideWhenUsed/>
    <w:qFormat/>
    <w:uiPriority w:val="99"/>
    <w:rPr>
      <w:color w:val="0000FF" w:themeColor="hyperlink"/>
      <w:u w:val="single"/>
      <w14:textFill>
        <w14:solidFill>
          <w14:schemeClr w14:val="hlink"/>
        </w14:solidFill>
      </w14:textFill>
    </w:rPr>
  </w:style>
  <w:style w:type="character" w:styleId="33">
    <w:name w:val="HTML Code"/>
    <w:basedOn w:val="26"/>
    <w:autoRedefine/>
    <w:semiHidden/>
    <w:unhideWhenUsed/>
    <w:qFormat/>
    <w:uiPriority w:val="99"/>
    <w:rPr>
      <w:rFonts w:hint="default" w:ascii="monospace" w:hAnsi="monospace" w:eastAsia="monospace" w:cs="monospace"/>
      <w:sz w:val="20"/>
    </w:rPr>
  </w:style>
  <w:style w:type="character" w:styleId="34">
    <w:name w:val="annotation reference"/>
    <w:basedOn w:val="26"/>
    <w:autoRedefine/>
    <w:semiHidden/>
    <w:unhideWhenUsed/>
    <w:qFormat/>
    <w:uiPriority w:val="99"/>
    <w:rPr>
      <w:sz w:val="21"/>
      <w:szCs w:val="21"/>
    </w:rPr>
  </w:style>
  <w:style w:type="character" w:styleId="35">
    <w:name w:val="HTML Cite"/>
    <w:basedOn w:val="26"/>
    <w:autoRedefine/>
    <w:semiHidden/>
    <w:unhideWhenUsed/>
    <w:qFormat/>
    <w:uiPriority w:val="99"/>
  </w:style>
  <w:style w:type="character" w:styleId="36">
    <w:name w:val="HTML Keyboard"/>
    <w:basedOn w:val="26"/>
    <w:autoRedefine/>
    <w:semiHidden/>
    <w:unhideWhenUsed/>
    <w:qFormat/>
    <w:uiPriority w:val="99"/>
    <w:rPr>
      <w:rFonts w:hint="default" w:ascii="monospace" w:hAnsi="monospace" w:eastAsia="monospace" w:cs="monospace"/>
      <w:sz w:val="20"/>
    </w:rPr>
  </w:style>
  <w:style w:type="character" w:styleId="37">
    <w:name w:val="HTML Sample"/>
    <w:basedOn w:val="26"/>
    <w:autoRedefine/>
    <w:semiHidden/>
    <w:unhideWhenUsed/>
    <w:qFormat/>
    <w:uiPriority w:val="99"/>
    <w:rPr>
      <w:rFonts w:hint="default" w:ascii="monospace" w:hAnsi="monospace" w:eastAsia="monospace" w:cs="monospace"/>
    </w:rPr>
  </w:style>
  <w:style w:type="paragraph" w:customStyle="1" w:styleId="38">
    <w:name w:val="正文首行缩进 21"/>
    <w:basedOn w:val="39"/>
    <w:next w:val="1"/>
    <w:autoRedefine/>
    <w:unhideWhenUsed/>
    <w:qFormat/>
    <w:uiPriority w:val="0"/>
    <w:pPr>
      <w:ind w:firstLine="420"/>
    </w:pPr>
    <w:rPr>
      <w:lang w:val="en-US" w:eastAsia="en-US"/>
    </w:rPr>
  </w:style>
  <w:style w:type="paragraph" w:customStyle="1" w:styleId="39">
    <w:name w:val="正文文本缩进1"/>
    <w:basedOn w:val="1"/>
    <w:next w:val="40"/>
    <w:autoRedefine/>
    <w:unhideWhenUsed/>
    <w:qFormat/>
    <w:uiPriority w:val="0"/>
    <w:pPr>
      <w:spacing w:after="120"/>
      <w:ind w:left="420"/>
    </w:pPr>
    <w:rPr>
      <w:rFonts w:ascii="Times New Roman" w:hAnsi="Times New Roman"/>
      <w:lang w:val="en-US" w:eastAsia="en-US"/>
    </w:rPr>
  </w:style>
  <w:style w:type="paragraph" w:customStyle="1" w:styleId="40">
    <w:name w:val="寄信人地址1"/>
    <w:basedOn w:val="1"/>
    <w:autoRedefine/>
    <w:unhideWhenUsed/>
    <w:qFormat/>
    <w:uiPriority w:val="99"/>
    <w:rPr>
      <w:rFonts w:ascii="Arial" w:hAnsi="Arial" w:eastAsia="楷体_GB2312" w:cs="Times New Roman"/>
      <w:sz w:val="26"/>
      <w:szCs w:val="20"/>
    </w:rPr>
  </w:style>
  <w:style w:type="character" w:customStyle="1" w:styleId="41">
    <w:name w:val="页眉 Char"/>
    <w:basedOn w:val="26"/>
    <w:link w:val="17"/>
    <w:autoRedefine/>
    <w:qFormat/>
    <w:uiPriority w:val="99"/>
    <w:rPr>
      <w:sz w:val="18"/>
      <w:szCs w:val="18"/>
    </w:rPr>
  </w:style>
  <w:style w:type="character" w:customStyle="1" w:styleId="42">
    <w:name w:val="页脚 Char"/>
    <w:basedOn w:val="26"/>
    <w:link w:val="16"/>
    <w:autoRedefine/>
    <w:qFormat/>
    <w:uiPriority w:val="99"/>
    <w:rPr>
      <w:sz w:val="18"/>
      <w:szCs w:val="18"/>
    </w:rPr>
  </w:style>
  <w:style w:type="character" w:customStyle="1" w:styleId="43">
    <w:name w:val="正文缩进 Char"/>
    <w:link w:val="5"/>
    <w:autoRedefine/>
    <w:qFormat/>
    <w:uiPriority w:val="0"/>
    <w:rPr>
      <w:rFonts w:ascii="Calibri" w:hAnsi="Calibri" w:eastAsia="楷体_GB2312" w:cs="Times New Roman"/>
      <w:kern w:val="0"/>
      <w:sz w:val="24"/>
      <w:szCs w:val="20"/>
    </w:rPr>
  </w:style>
  <w:style w:type="character" w:customStyle="1" w:styleId="44">
    <w:name w:val="标题 1 Char"/>
    <w:basedOn w:val="26"/>
    <w:link w:val="2"/>
    <w:autoRedefine/>
    <w:qFormat/>
    <w:uiPriority w:val="0"/>
    <w:rPr>
      <w:rFonts w:ascii="Calibri" w:hAnsi="Calibri" w:eastAsia="楷体_GB2312" w:cs="Times New Roman"/>
      <w:b/>
      <w:kern w:val="44"/>
      <w:sz w:val="44"/>
      <w:szCs w:val="20"/>
    </w:rPr>
  </w:style>
  <w:style w:type="character" w:customStyle="1" w:styleId="45">
    <w:name w:val="标题 2 Char"/>
    <w:basedOn w:val="26"/>
    <w:link w:val="3"/>
    <w:autoRedefine/>
    <w:qFormat/>
    <w:uiPriority w:val="9"/>
    <w:rPr>
      <w:rFonts w:asciiTheme="majorHAnsi" w:hAnsiTheme="majorHAnsi" w:eastAsiaTheme="majorEastAsia" w:cstheme="majorBidi"/>
      <w:b/>
      <w:bCs/>
      <w:sz w:val="32"/>
      <w:szCs w:val="32"/>
    </w:rPr>
  </w:style>
  <w:style w:type="character" w:customStyle="1" w:styleId="46">
    <w:name w:val="文档结构图 Char"/>
    <w:basedOn w:val="26"/>
    <w:link w:val="6"/>
    <w:autoRedefine/>
    <w:semiHidden/>
    <w:qFormat/>
    <w:uiPriority w:val="99"/>
    <w:rPr>
      <w:rFonts w:ascii="宋体" w:eastAsia="宋体"/>
      <w:sz w:val="18"/>
      <w:szCs w:val="18"/>
    </w:rPr>
  </w:style>
  <w:style w:type="character" w:customStyle="1" w:styleId="47">
    <w:name w:val="NormalCharacter"/>
    <w:autoRedefine/>
    <w:qFormat/>
    <w:uiPriority w:val="0"/>
    <w:rPr>
      <w:rFonts w:ascii="Times New Roman" w:hAnsi="Times New Roman" w:eastAsia="宋体" w:cs="Times New Roman"/>
    </w:rPr>
  </w:style>
  <w:style w:type="character" w:customStyle="1" w:styleId="48">
    <w:name w:val="批注框文本 Char"/>
    <w:basedOn w:val="26"/>
    <w:link w:val="15"/>
    <w:autoRedefine/>
    <w:semiHidden/>
    <w:qFormat/>
    <w:uiPriority w:val="99"/>
    <w:rPr>
      <w:kern w:val="2"/>
      <w:sz w:val="18"/>
      <w:szCs w:val="18"/>
    </w:rPr>
  </w:style>
  <w:style w:type="character" w:customStyle="1" w:styleId="49">
    <w:name w:val="批注文字 Char"/>
    <w:basedOn w:val="26"/>
    <w:link w:val="8"/>
    <w:autoRedefine/>
    <w:semiHidden/>
    <w:qFormat/>
    <w:uiPriority w:val="99"/>
    <w:rPr>
      <w:kern w:val="2"/>
      <w:sz w:val="21"/>
      <w:szCs w:val="22"/>
    </w:rPr>
  </w:style>
  <w:style w:type="character" w:customStyle="1" w:styleId="50">
    <w:name w:val="批注主题 Char"/>
    <w:basedOn w:val="49"/>
    <w:link w:val="21"/>
    <w:autoRedefine/>
    <w:semiHidden/>
    <w:qFormat/>
    <w:uiPriority w:val="99"/>
    <w:rPr>
      <w:b/>
      <w:bCs/>
      <w:kern w:val="2"/>
      <w:sz w:val="21"/>
      <w:szCs w:val="22"/>
    </w:rPr>
  </w:style>
  <w:style w:type="character" w:customStyle="1" w:styleId="51">
    <w:name w:val="普通正文 Char"/>
    <w:link w:val="52"/>
    <w:autoRedefine/>
    <w:qFormat/>
    <w:uiPriority w:val="0"/>
    <w:rPr>
      <w:rFonts w:ascii="Arial" w:hAnsi="Arial"/>
      <w:sz w:val="24"/>
      <w:szCs w:val="24"/>
    </w:rPr>
  </w:style>
  <w:style w:type="paragraph" w:customStyle="1" w:styleId="52">
    <w:name w:val="普通正文"/>
    <w:basedOn w:val="1"/>
    <w:link w:val="51"/>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3">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54">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55">
    <w:name w:val="纯文本 Char"/>
    <w:basedOn w:val="26"/>
    <w:link w:val="14"/>
    <w:autoRedefine/>
    <w:qFormat/>
    <w:locked/>
    <w:uiPriority w:val="0"/>
    <w:rPr>
      <w:rFonts w:ascii="宋体" w:hAnsi="Courier New" w:eastAsia="宋体" w:cs="Times New Roman"/>
      <w:kern w:val="2"/>
      <w:sz w:val="21"/>
    </w:rPr>
  </w:style>
  <w:style w:type="paragraph" w:styleId="56">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57">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58">
    <w:name w:val="列出段落2"/>
    <w:basedOn w:val="1"/>
    <w:autoRedefine/>
    <w:qFormat/>
    <w:uiPriority w:val="99"/>
    <w:pPr>
      <w:ind w:firstLine="420" w:firstLineChars="200"/>
    </w:pPr>
    <w:rPr>
      <w:rFonts w:ascii="Times New Roman" w:hAnsi="Times New Roman"/>
      <w:szCs w:val="24"/>
    </w:rPr>
  </w:style>
  <w:style w:type="character" w:customStyle="1" w:styleId="59">
    <w:name w:val="样式 小四 加粗"/>
    <w:basedOn w:val="26"/>
    <w:autoRedefine/>
    <w:qFormat/>
    <w:uiPriority w:val="0"/>
    <w:rPr>
      <w:rFonts w:eastAsia="黑体"/>
      <w:b/>
      <w:bCs/>
      <w:sz w:val="24"/>
    </w:rPr>
  </w:style>
  <w:style w:type="character" w:customStyle="1" w:styleId="60">
    <w:name w:val="first-child"/>
    <w:basedOn w:val="26"/>
    <w:autoRedefine/>
    <w:qFormat/>
    <w:uiPriority w:val="0"/>
  </w:style>
  <w:style w:type="character" w:customStyle="1" w:styleId="61">
    <w:name w:val="hover3"/>
    <w:basedOn w:val="26"/>
    <w:autoRedefine/>
    <w:qFormat/>
    <w:uiPriority w:val="0"/>
    <w:rPr>
      <w:color w:val="5FB878"/>
    </w:rPr>
  </w:style>
  <w:style w:type="character" w:customStyle="1" w:styleId="62">
    <w:name w:val="hover4"/>
    <w:basedOn w:val="26"/>
    <w:autoRedefine/>
    <w:qFormat/>
    <w:uiPriority w:val="0"/>
    <w:rPr>
      <w:color w:val="5FB878"/>
    </w:rPr>
  </w:style>
  <w:style w:type="character" w:customStyle="1" w:styleId="63">
    <w:name w:val="hover5"/>
    <w:basedOn w:val="26"/>
    <w:autoRedefine/>
    <w:qFormat/>
    <w:uiPriority w:val="0"/>
    <w:rPr>
      <w:color w:val="FFFFFF"/>
    </w:rPr>
  </w:style>
  <w:style w:type="character" w:customStyle="1" w:styleId="64">
    <w:name w:val="layui-this"/>
    <w:basedOn w:val="26"/>
    <w:autoRedefine/>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15209</Words>
  <Characters>15586</Characters>
  <Lines>120</Lines>
  <Paragraphs>33</Paragraphs>
  <TotalTime>90</TotalTime>
  <ScaleCrop>false</ScaleCrop>
  <LinksUpToDate>false</LinksUpToDate>
  <CharactersWithSpaces>15693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小白</cp:lastModifiedBy>
  <dcterms:modified xsi:type="dcterms:W3CDTF">2024-03-19T01:20:58Z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079A696EDF02486BB848DA2AE0392408_13</vt:lpwstr>
  </property>
</Properties>
</file>