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p>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54"/>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南通市第三人民医院集成平台维保项目</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30"/>
          <w:szCs w:val="30"/>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keepNext w:val="0"/>
        <w:keepLines w:val="0"/>
        <w:pageBreakBefore w:val="0"/>
        <w:widowControl w:val="0"/>
        <w:kinsoku/>
        <w:wordWrap/>
        <w:topLinePunct w:val="0"/>
        <w:autoSpaceDE/>
        <w:autoSpaceDN/>
        <w:bidi w:val="0"/>
        <w:adjustRightInd w:val="0"/>
        <w:snapToGrid w:val="0"/>
        <w:spacing w:line="360" w:lineRule="auto"/>
        <w:jc w:val="center"/>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rPr>
        <w:t>二○二</w:t>
      </w:r>
      <w:r>
        <w:rPr>
          <w:rFonts w:hint="eastAsia" w:ascii="Times New Roman" w:hAnsi="Times New Roman" w:eastAsia="宋体" w:cs="仿宋"/>
          <w:b/>
          <w:sz w:val="32"/>
          <w:szCs w:val="32"/>
          <w:lang w:eastAsia="zh-CN"/>
        </w:rPr>
        <w:t>四</w:t>
      </w:r>
      <w:r>
        <w:rPr>
          <w:rFonts w:hint="eastAsia" w:ascii="Times New Roman" w:hAnsi="Times New Roman" w:eastAsia="宋体" w:cs="仿宋"/>
          <w:b/>
          <w:sz w:val="32"/>
          <w:szCs w:val="32"/>
        </w:rPr>
        <w:t>年</w:t>
      </w:r>
      <w:r>
        <w:rPr>
          <w:rFonts w:hint="eastAsia" w:ascii="Times New Roman" w:hAnsi="Times New Roman" w:eastAsia="宋体" w:cs="仿宋"/>
          <w:b/>
          <w:sz w:val="32"/>
          <w:szCs w:val="32"/>
          <w:lang w:eastAsia="zh-CN"/>
        </w:rPr>
        <w:t>六月</w:t>
      </w:r>
    </w:p>
    <w:p>
      <w:pPr>
        <w:keepNext w:val="0"/>
        <w:keepLines w:val="0"/>
        <w:pageBreakBefore w:val="0"/>
        <w:widowControl w:val="0"/>
        <w:kinsoku/>
        <w:wordWrap/>
        <w:topLinePunct w:val="0"/>
        <w:autoSpaceDE/>
        <w:autoSpaceDN/>
        <w:bidi w:val="0"/>
        <w:spacing w:line="360" w:lineRule="auto"/>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lang w:eastAsia="zh-CN"/>
        </w:rPr>
        <w:br w:type="page"/>
      </w:r>
    </w:p>
    <w:p>
      <w:pPr>
        <w:pStyle w:val="8"/>
        <w:keepNext w:val="0"/>
        <w:keepLines w:val="0"/>
        <w:pageBreakBefore w:val="0"/>
        <w:widowControl w:val="0"/>
        <w:kinsoku/>
        <w:wordWrap/>
        <w:topLinePunct w:val="0"/>
        <w:autoSpaceDE/>
        <w:autoSpaceDN/>
        <w:bidi w:val="0"/>
        <w:spacing w:line="360" w:lineRule="auto"/>
        <w:rPr>
          <w:rFonts w:hint="eastAsia" w:ascii="Times New Roman" w:hAnsi="Times New Roman" w:eastAsia="宋体"/>
        </w:rPr>
      </w:pPr>
    </w:p>
    <w:p>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5"/>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sz w:val="30"/>
        </w:rPr>
      </w:pP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5"/>
        <w:keepNext w:val="0"/>
        <w:keepLines w:val="0"/>
        <w:pageBreakBefore w:val="0"/>
        <w:widowControl w:val="0"/>
        <w:kinsoku/>
        <w:wordWrap/>
        <w:topLinePunct w:val="0"/>
        <w:autoSpaceDE/>
        <w:autoSpaceDN/>
        <w:bidi w:val="0"/>
        <w:spacing w:after="0" w:line="360" w:lineRule="auto"/>
        <w:rPr>
          <w:rFonts w:ascii="Times New Roman" w:hAnsi="Times New Roman" w:eastAsia="宋体"/>
        </w:rPr>
      </w:pPr>
      <w:r>
        <w:rPr>
          <w:rFonts w:ascii="Times New Roman" w:hAnsi="Times New Roman" w:eastAsia="宋体"/>
        </w:rPr>
        <w:br w:type="page"/>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sz w:val="24"/>
          <w:szCs w:val="24"/>
          <w:highlight w:val="none"/>
          <w:u w:val="single"/>
        </w:rPr>
      </w:pPr>
      <w:r>
        <w:rPr>
          <w:rFonts w:hint="eastAsia" w:ascii="Times New Roman" w:hAnsi="Times New Roman" w:eastAsia="宋体" w:cs="Times New Roman"/>
          <w:sz w:val="24"/>
          <w:szCs w:val="24"/>
          <w:lang w:eastAsia="zh-CN"/>
        </w:rPr>
        <w:t>南通市第三人民医院集成平台维保项目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highlight w:val="none"/>
          <w:u w:val="single"/>
        </w:rPr>
        <w:t>20</w:t>
      </w:r>
      <w:r>
        <w:rPr>
          <w:rFonts w:hint="eastAsia" w:ascii="Times New Roman" w:hAnsi="Times New Roman" w:eastAsia="宋体" w:cs="宋体"/>
          <w:sz w:val="24"/>
          <w:szCs w:val="24"/>
          <w:highlight w:val="none"/>
          <w:u w:val="single"/>
          <w:lang w:val="en-US" w:eastAsia="zh-CN"/>
        </w:rPr>
        <w:t>24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24</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1、项目编号：</w:t>
      </w:r>
      <w:r>
        <w:rPr>
          <w:rFonts w:hint="eastAsia" w:ascii="Times New Roman" w:hAnsi="Times New Roman" w:eastAsia="宋体" w:cs="宋体"/>
          <w:sz w:val="24"/>
          <w:szCs w:val="24"/>
          <w:highlight w:val="none"/>
          <w:lang w:val="en-US" w:eastAsia="zh-CN"/>
        </w:rPr>
        <w:t>SY-HXTDJCPT202405001</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2、项目名称：</w:t>
      </w:r>
      <w:r>
        <w:rPr>
          <w:rFonts w:hint="eastAsia" w:ascii="Times New Roman" w:hAnsi="Times New Roman" w:eastAsia="宋体" w:cs="Times New Roman"/>
          <w:sz w:val="24"/>
          <w:szCs w:val="24"/>
          <w:highlight w:val="none"/>
          <w:lang w:eastAsia="zh-CN"/>
        </w:rPr>
        <w:t>南通市第三人民医院集成平台维保项目</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3、采购人式：□竞争性谈判 </w:t>
      </w:r>
      <w:r>
        <w:rPr>
          <w:rFonts w:hint="eastAsia" w:ascii="Times New Roman" w:hAnsi="Times New Roman" w:eastAsia="宋体" w:cs="MS Mincho"/>
          <w:sz w:val="24"/>
          <w:szCs w:val="24"/>
          <w:highlight w:val="none"/>
        </w:rPr>
        <w:t>☑</w:t>
      </w:r>
      <w:r>
        <w:rPr>
          <w:rFonts w:hint="eastAsia" w:ascii="Times New Roman" w:hAnsi="Times New Roman" w:eastAsia="宋体" w:cs="宋体"/>
          <w:sz w:val="24"/>
          <w:szCs w:val="24"/>
          <w:highlight w:val="none"/>
        </w:rPr>
        <w:t>竞争性磋商 □询价</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4、预算金额：30万元</w:t>
      </w:r>
      <w:r>
        <w:rPr>
          <w:rFonts w:hint="eastAsia" w:ascii="宋体" w:hAnsi="宋体" w:eastAsia="宋体" w:cs="宋体"/>
          <w:sz w:val="24"/>
          <w:szCs w:val="24"/>
          <w:highlight w:val="none"/>
          <w:lang w:eastAsia="zh-CN"/>
        </w:rPr>
        <w:t>/</w:t>
      </w:r>
      <w:r>
        <w:rPr>
          <w:rFonts w:hint="eastAsia" w:ascii="Times New Roman" w:hAnsi="Times New Roman" w:eastAsia="宋体" w:cs="宋体"/>
          <w:sz w:val="24"/>
          <w:szCs w:val="24"/>
          <w:highlight w:val="none"/>
        </w:rPr>
        <w:t>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sz w:val="24"/>
          <w:szCs w:val="24"/>
          <w:highlight w:val="none"/>
        </w:rPr>
        <w:t>5、</w:t>
      </w:r>
      <w:r>
        <w:rPr>
          <w:rFonts w:hint="eastAsia" w:ascii="Times New Roman" w:hAnsi="Times New Roman" w:eastAsia="宋体" w:cs="宋体"/>
          <w:b/>
          <w:bCs/>
          <w:sz w:val="24"/>
          <w:szCs w:val="24"/>
          <w:highlight w:val="none"/>
        </w:rPr>
        <w:t>最高限价：</w:t>
      </w:r>
      <w:r>
        <w:rPr>
          <w:rFonts w:hint="eastAsia" w:ascii="Times New Roman" w:hAnsi="Times New Roman" w:eastAsia="宋体" w:cs="宋体"/>
          <w:b/>
          <w:bCs/>
          <w:sz w:val="24"/>
          <w:szCs w:val="24"/>
          <w:highlight w:val="none"/>
          <w:u w:val="none"/>
          <w:lang w:val="en-US" w:eastAsia="zh-CN"/>
        </w:rPr>
        <w:t>30</w:t>
      </w:r>
      <w:r>
        <w:rPr>
          <w:rFonts w:hint="eastAsia" w:ascii="Times New Roman" w:hAnsi="Times New Roman" w:eastAsia="宋体" w:cs="宋体"/>
          <w:b/>
          <w:bCs/>
          <w:sz w:val="24"/>
          <w:szCs w:val="24"/>
          <w:highlight w:val="none"/>
          <w:u w:val="none"/>
        </w:rPr>
        <w:t>万</w:t>
      </w:r>
      <w:r>
        <w:rPr>
          <w:rFonts w:hint="eastAsia" w:ascii="Times New Roman" w:hAnsi="Times New Roman" w:eastAsia="宋体" w:cs="宋体"/>
          <w:b/>
          <w:bCs/>
          <w:sz w:val="24"/>
          <w:szCs w:val="24"/>
          <w:highlight w:val="none"/>
        </w:rPr>
        <w:t>元</w:t>
      </w:r>
      <w:r>
        <w:rPr>
          <w:rFonts w:hint="eastAsia" w:ascii="宋体" w:hAnsi="宋体" w:eastAsia="宋体" w:cs="宋体"/>
          <w:sz w:val="24"/>
          <w:szCs w:val="24"/>
          <w:highlight w:val="none"/>
          <w:lang w:eastAsia="zh-CN"/>
        </w:rPr>
        <w:t>/</w:t>
      </w:r>
      <w:r>
        <w:rPr>
          <w:rFonts w:hint="eastAsia" w:ascii="Times New Roman" w:hAnsi="Times New Roman" w:eastAsia="宋体" w:cs="宋体"/>
          <w:b/>
          <w:bCs/>
          <w:sz w:val="24"/>
          <w:szCs w:val="24"/>
          <w:highlight w:val="none"/>
          <w:lang w:eastAsia="zh-CN"/>
        </w:rPr>
        <w:t>年</w:t>
      </w:r>
      <w:r>
        <w:rPr>
          <w:rFonts w:hint="eastAsia" w:ascii="Times New Roman" w:hAnsi="Times New Roman" w:eastAsia="宋体" w:cs="仿宋"/>
          <w:b/>
          <w:bCs/>
          <w:sz w:val="24"/>
          <w:szCs w:val="20"/>
          <w:highlight w:val="none"/>
        </w:rPr>
        <w:t>，报价超过最高限价的为无效响应文件；</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6、采购需求：</w:t>
      </w:r>
      <w:r>
        <w:rPr>
          <w:rFonts w:hint="eastAsia" w:ascii="Times New Roman" w:hAnsi="Times New Roman" w:eastAsia="宋体" w:cs="Times New Roman"/>
          <w:sz w:val="24"/>
          <w:szCs w:val="24"/>
          <w:highlight w:val="none"/>
          <w:lang w:eastAsia="zh-CN"/>
        </w:rPr>
        <w:t>南通市第三人民医院集成平台维保</w:t>
      </w:r>
      <w:r>
        <w:rPr>
          <w:rFonts w:hint="eastAsia" w:ascii="Times New Roman" w:hAnsi="Times New Roman" w:eastAsia="宋体" w:cs="宋体"/>
          <w:sz w:val="24"/>
          <w:szCs w:val="24"/>
          <w:highlight w:val="none"/>
          <w:lang w:eastAsia="zh-CN"/>
        </w:rPr>
        <w:t>，具体内容详见竞争性磋商文件第三章项目需求。</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val="zh-CN" w:eastAsia="zh-CN"/>
        </w:rPr>
      </w:pPr>
      <w:r>
        <w:rPr>
          <w:rFonts w:hint="eastAsia" w:ascii="Times New Roman" w:hAnsi="Times New Roman" w:eastAsia="宋体" w:cs="宋体"/>
          <w:sz w:val="24"/>
          <w:szCs w:val="24"/>
          <w:highlight w:val="none"/>
        </w:rPr>
        <w:t>7、服务期限</w:t>
      </w:r>
      <w:r>
        <w:rPr>
          <w:rFonts w:ascii="Times New Roman" w:hAnsi="Times New Roman" w:eastAsia="宋体" w:cs="宋体"/>
          <w:sz w:val="24"/>
          <w:szCs w:val="24"/>
          <w:highlight w:val="none"/>
        </w:rPr>
        <w:t>：</w:t>
      </w:r>
      <w:r>
        <w:rPr>
          <w:rFonts w:hint="eastAsia" w:ascii="Times New Roman" w:hAnsi="Times New Roman" w:eastAsia="宋体" w:cs="宋体"/>
          <w:sz w:val="24"/>
          <w:szCs w:val="24"/>
          <w:highlight w:val="none"/>
        </w:rPr>
        <w:t>服务期限为三年，合同一年一签，双方无异议可续签，续签不超过两次。</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lang w:eastAsia="zh-CN"/>
        </w:rPr>
        <w:t>无</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eastAsia="zh-CN"/>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keepNext w:val="0"/>
        <w:keepLines w:val="0"/>
        <w:pageBreakBefore w:val="0"/>
        <w:widowControl w:val="0"/>
        <w:numPr>
          <w:ilvl w:val="0"/>
          <w:numId w:val="0"/>
        </w:numPr>
        <w:kinsoku/>
        <w:wordWrap/>
        <w:topLinePunct w:val="0"/>
        <w:autoSpaceDE/>
        <w:autoSpaceDN/>
        <w:bidi w:val="0"/>
        <w:snapToGrid w:val="0"/>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（1）</w:t>
      </w:r>
      <w:r>
        <w:rPr>
          <w:rFonts w:hint="eastAsia" w:ascii="Times New Roman" w:hAnsi="Times New Roman" w:eastAsia="宋体"/>
          <w:bCs/>
          <w:sz w:val="24"/>
          <w:szCs w:val="24"/>
        </w:rPr>
        <w:t>供应商具有独立承担民事责任的能力，提供法人或者其他组织的营业执照等证明文件。</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的，必须提供法定代表人身份证明及法定代表人本人身份证两项复印件（须加盖单位公章）；非法定代表人参加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的，必须提供法定代表人签字或印章的授权委托书及被授权人本人身份证两项复印件；（须加盖单位公章）</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信用中国</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网站（www.creditchina.gov.cn）列入失信被执行人、重大税收违法案件当事人名单、政府采购严重失信行为记录名单；</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bookmarkStart w:id="2" w:name="_Toc35393624"/>
      <w:bookmarkStart w:id="3" w:name="_Toc35393793"/>
      <w:bookmarkStart w:id="4" w:name="_Toc28359005"/>
      <w:bookmarkStart w:id="5" w:name="_Toc28359082"/>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23</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18</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报名时递交给采购代理机构</w:t>
      </w:r>
      <w:r>
        <w:rPr>
          <w:rFonts w:hint="eastAsia" w:ascii="Times New Roman" w:hAnsi="Times New Roman" w:eastAsia="宋体" w:cs="宋体"/>
          <w:sz w:val="24"/>
          <w:szCs w:val="24"/>
          <w:highlight w:val="none"/>
        </w:rPr>
        <w:t>，售后不退。</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w:t>
      </w:r>
      <w:r>
        <w:rPr>
          <w:rFonts w:hint="eastAsia" w:ascii="Times New Roman" w:hAnsi="Times New Roman" w:eastAsia="宋体" w:cs="宋体"/>
          <w:b/>
          <w:sz w:val="24"/>
          <w:szCs w:val="24"/>
          <w:highlight w:val="none"/>
          <w:lang w:val="en-US" w:eastAsia="zh-CN"/>
        </w:rPr>
        <w:t>4</w:t>
      </w:r>
      <w:r>
        <w:rPr>
          <w:rFonts w:hint="eastAsia" w:ascii="Times New Roman" w:hAnsi="Times New Roman" w:eastAsia="宋体" w:cs="宋体"/>
          <w:b/>
          <w:sz w:val="24"/>
          <w:szCs w:val="24"/>
          <w:highlight w:val="none"/>
        </w:rPr>
        <w:t>年</w:t>
      </w:r>
      <w:r>
        <w:rPr>
          <w:rFonts w:hint="eastAsia" w:ascii="Times New Roman" w:hAnsi="Times New Roman" w:eastAsia="宋体" w:cs="宋体"/>
          <w:b/>
          <w:sz w:val="24"/>
          <w:szCs w:val="24"/>
          <w:highlight w:val="none"/>
          <w:lang w:val="en-US" w:eastAsia="zh-CN"/>
        </w:rPr>
        <w:t>6</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23</w:t>
      </w:r>
      <w:r>
        <w:rPr>
          <w:rFonts w:hint="eastAsia" w:ascii="Times New Roman" w:hAnsi="Times New Roman" w:eastAsia="宋体" w:cs="宋体"/>
          <w:b/>
          <w:sz w:val="24"/>
          <w:szCs w:val="24"/>
          <w:highlight w:val="none"/>
        </w:rPr>
        <w:t>日18时00分前</w:t>
      </w:r>
      <w:r>
        <w:rPr>
          <w:rFonts w:hint="eastAsia" w:ascii="Times New Roman" w:hAnsi="Times New Roman" w:eastAsia="宋体" w:cs="宋体"/>
          <w:b/>
          <w:sz w:val="24"/>
          <w:szCs w:val="24"/>
          <w:highlight w:val="none"/>
          <w:lang w:eastAsia="zh-CN"/>
        </w:rPr>
        <w:t>联系</w:t>
      </w:r>
      <w:r>
        <w:rPr>
          <w:rFonts w:hint="eastAsia" w:ascii="Times New Roman" w:hAnsi="Times New Roman" w:eastAsia="宋体" w:cs="宋体"/>
          <w:b/>
          <w:sz w:val="24"/>
          <w:szCs w:val="24"/>
          <w:highlight w:val="none"/>
        </w:rPr>
        <w:t>代理机构报名</w:t>
      </w:r>
      <w:r>
        <w:rPr>
          <w:rFonts w:hint="eastAsia" w:ascii="Times New Roman" w:hAnsi="Times New Roman" w:eastAsia="宋体" w:cs="宋体"/>
          <w:b/>
          <w:bCs w:val="0"/>
          <w:sz w:val="24"/>
          <w:szCs w:val="24"/>
          <w:highlight w:val="none"/>
          <w:lang w:eastAsia="zh-CN"/>
        </w:rPr>
        <w:t>（联系人：</w:t>
      </w:r>
      <w:r>
        <w:rPr>
          <w:rFonts w:hint="eastAsia" w:ascii="Times New Roman" w:hAnsi="Times New Roman" w:eastAsia="宋体"/>
          <w:b/>
          <w:bCs w:val="0"/>
          <w:sz w:val="24"/>
          <w:szCs w:val="24"/>
        </w:rPr>
        <w:t>董安国</w:t>
      </w:r>
      <w:r>
        <w:rPr>
          <w:rFonts w:hint="eastAsia" w:ascii="Times New Roman" w:hAnsi="Times New Roman" w:eastAsia="宋体"/>
          <w:b/>
          <w:bCs w:val="0"/>
          <w:sz w:val="24"/>
          <w:szCs w:val="24"/>
          <w:lang w:eastAsia="zh-CN"/>
        </w:rPr>
        <w:t>，</w:t>
      </w:r>
      <w:r>
        <w:rPr>
          <w:rFonts w:hint="eastAsia" w:ascii="Times New Roman" w:hAnsi="Times New Roman" w:eastAsia="宋体"/>
          <w:b/>
          <w:bCs w:val="0"/>
          <w:sz w:val="24"/>
          <w:szCs w:val="24"/>
        </w:rPr>
        <w:t>联系电话：</w:t>
      </w:r>
      <w:r>
        <w:rPr>
          <w:rFonts w:hint="eastAsia" w:ascii="Times New Roman" w:hAnsi="Times New Roman" w:eastAsia="宋体" w:cs="宋体"/>
          <w:b/>
          <w:bCs w:val="0"/>
          <w:kern w:val="0"/>
          <w:sz w:val="24"/>
        </w:rPr>
        <w:t>18912299056</w:t>
      </w:r>
      <w:r>
        <w:rPr>
          <w:rFonts w:hint="eastAsia" w:ascii="Times New Roman" w:hAnsi="Times New Roman" w:eastAsia="宋体" w:cs="宋体"/>
          <w:b/>
          <w:bCs w:val="0"/>
          <w:kern w:val="0"/>
          <w:sz w:val="24"/>
          <w:lang w:eastAsia="zh-CN"/>
        </w:rPr>
        <w:t>，</w:t>
      </w:r>
      <w:r>
        <w:rPr>
          <w:rFonts w:hint="eastAsia" w:ascii="Times New Roman" w:hAnsi="Times New Roman" w:eastAsia="宋体" w:cs="宋体"/>
          <w:b/>
          <w:bCs w:val="0"/>
          <w:kern w:val="0"/>
          <w:sz w:val="24"/>
        </w:rPr>
        <w:t>邮箱：812298892@qq.com</w:t>
      </w:r>
      <w:r>
        <w:rPr>
          <w:rFonts w:hint="eastAsia" w:ascii="Times New Roman" w:hAnsi="Times New Roman" w:eastAsia="宋体" w:cs="宋体"/>
          <w:b/>
          <w:bCs w:val="0"/>
          <w:sz w:val="24"/>
          <w:szCs w:val="24"/>
          <w:highlight w:val="none"/>
          <w:lang w:eastAsia="zh-CN"/>
        </w:rPr>
        <w:t>）</w:t>
      </w:r>
      <w:r>
        <w:rPr>
          <w:rFonts w:hint="eastAsia" w:ascii="Times New Roman" w:hAnsi="Times New Roman" w:eastAsia="宋体" w:cs="宋体"/>
          <w:b/>
          <w:sz w:val="24"/>
          <w:szCs w:val="24"/>
          <w:highlight w:val="none"/>
        </w:rPr>
        <w:t>，未报名单位不得参加本项目的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35393625"/>
      <w:bookmarkStart w:id="7" w:name="_Toc35393794"/>
      <w:bookmarkStart w:id="8" w:name="_Toc28359007"/>
      <w:bookmarkStart w:id="9" w:name="_Toc28359084"/>
      <w:r>
        <w:rPr>
          <w:rFonts w:hint="eastAsia" w:ascii="Times New Roman" w:hAnsi="Times New Roman" w:eastAsia="宋体" w:cs="宋体"/>
          <w:b/>
          <w:kern w:val="0"/>
          <w:sz w:val="24"/>
          <w:szCs w:val="24"/>
          <w:highlight w:val="none"/>
        </w:rPr>
        <w:t>四、响应文件提交</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24</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24</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keepNext w:val="0"/>
        <w:keepLines w:val="0"/>
        <w:pageBreakBefore w:val="0"/>
        <w:widowControl w:val="0"/>
        <w:kinsoku/>
        <w:wordWrap/>
        <w:topLinePunct w:val="0"/>
        <w:autoSpaceDE/>
        <w:autoSpaceDN/>
        <w:bidi w:val="0"/>
        <w:spacing w:line="360" w:lineRule="auto"/>
        <w:ind w:firstLine="480" w:firstLineChars="200"/>
        <w:rPr>
          <w:rFonts w:cs="宋体"/>
          <w:sz w:val="24"/>
          <w:szCs w:val="24"/>
          <w:highlight w:val="yellow"/>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pPr>
        <w:pageBreakBefore w:val="0"/>
        <w:kinsoku/>
        <w:wordWrap/>
        <w:topLinePunct w:val="0"/>
        <w:autoSpaceDE/>
        <w:autoSpaceDN/>
        <w:bidi w:val="0"/>
        <w:spacing w:line="360" w:lineRule="auto"/>
        <w:ind w:firstLine="480" w:firstLineChars="200"/>
        <w:rPr>
          <w:rFonts w:cs="宋体"/>
          <w:kern w:val="0"/>
          <w:sz w:val="24"/>
          <w:szCs w:val="24"/>
        </w:rPr>
      </w:pPr>
      <w:r>
        <w:rPr>
          <w:rFonts w:hint="eastAsia" w:cs="宋体"/>
          <w:bCs/>
          <w:sz w:val="24"/>
          <w:szCs w:val="24"/>
          <w:lang w:val="en-US" w:eastAsia="zh-CN"/>
        </w:rPr>
        <w:t>2</w:t>
      </w:r>
      <w:r>
        <w:rPr>
          <w:rFonts w:hint="eastAsia" w:cs="宋体"/>
          <w:bCs/>
          <w:sz w:val="24"/>
          <w:szCs w:val="24"/>
        </w:rPr>
        <w:t>、</w:t>
      </w:r>
      <w:r>
        <w:rPr>
          <w:rFonts w:cs="宋体"/>
          <w:kern w:val="0"/>
          <w:sz w:val="24"/>
          <w:szCs w:val="24"/>
        </w:rPr>
        <w:t>项目</w:t>
      </w:r>
      <w:r>
        <w:rPr>
          <w:rFonts w:hint="eastAsia" w:cs="宋体"/>
          <w:kern w:val="0"/>
          <w:sz w:val="24"/>
          <w:szCs w:val="24"/>
        </w:rPr>
        <w:t>磋商</w:t>
      </w:r>
      <w:r>
        <w:rPr>
          <w:rFonts w:cs="宋体"/>
          <w:kern w:val="0"/>
          <w:sz w:val="24"/>
          <w:szCs w:val="24"/>
        </w:rPr>
        <w:t>活动模式：</w:t>
      </w:r>
      <w:r>
        <w:rPr>
          <w:rFonts w:hint="eastAsia" w:cs="宋体"/>
          <w:kern w:val="0"/>
          <w:sz w:val="24"/>
          <w:szCs w:val="24"/>
        </w:rPr>
        <w:t>现场磋商模式</w:t>
      </w:r>
      <w:r>
        <w:rPr>
          <w:rFonts w:cs="宋体"/>
          <w:kern w:val="0"/>
          <w:sz w:val="24"/>
          <w:szCs w:val="24"/>
        </w:rPr>
        <w:t>。</w:t>
      </w:r>
    </w:p>
    <w:p>
      <w:pPr>
        <w:pageBreakBefore w:val="0"/>
        <w:kinsoku/>
        <w:wordWrap/>
        <w:topLinePunct w:val="0"/>
        <w:autoSpaceDE/>
        <w:autoSpaceDN/>
        <w:bidi w:val="0"/>
        <w:spacing w:line="360" w:lineRule="auto"/>
        <w:ind w:firstLine="480" w:firstLineChars="200"/>
      </w:pPr>
      <w:r>
        <w:rPr>
          <w:rFonts w:hint="eastAsia" w:cs="宋体"/>
          <w:kern w:val="0"/>
          <w:sz w:val="24"/>
          <w:szCs w:val="24"/>
          <w:lang w:val="en-US" w:eastAsia="zh-CN"/>
        </w:rPr>
        <w:t>3</w:t>
      </w:r>
      <w:r>
        <w:rPr>
          <w:rFonts w:cs="宋体"/>
          <w:kern w:val="0"/>
          <w:sz w:val="24"/>
          <w:szCs w:val="24"/>
        </w:rPr>
        <w:t>、项目演示、样品、答辩等：无</w:t>
      </w:r>
      <w:r>
        <w:rPr>
          <w:rFonts w:hint="eastAsia" w:cs="宋体"/>
          <w:kern w:val="0"/>
          <w:sz w:val="24"/>
          <w:szCs w:val="24"/>
        </w:rPr>
        <w:t>。</w:t>
      </w:r>
    </w:p>
    <w:p>
      <w:pPr>
        <w:pageBreakBefore w:val="0"/>
        <w:kinsoku/>
        <w:wordWrap/>
        <w:topLinePunct w:val="0"/>
        <w:autoSpaceDE/>
        <w:autoSpaceDN/>
        <w:bidi w:val="0"/>
        <w:spacing w:line="360" w:lineRule="auto"/>
        <w:ind w:firstLine="480" w:firstLineChars="200"/>
        <w:textAlignment w:val="baseline"/>
        <w:rPr>
          <w:sz w:val="24"/>
          <w:szCs w:val="24"/>
        </w:rPr>
      </w:pPr>
      <w:r>
        <w:rPr>
          <w:rFonts w:hint="eastAsia" w:cs="宋体"/>
          <w:sz w:val="24"/>
          <w:lang w:val="en-US" w:eastAsia="zh-CN"/>
        </w:rPr>
        <w:t>4</w:t>
      </w:r>
      <w:r>
        <w:rPr>
          <w:rFonts w:hint="eastAsia" w:cs="宋体"/>
          <w:sz w:val="24"/>
        </w:rPr>
        <w:t>、</w:t>
      </w:r>
      <w:r>
        <w:rPr>
          <w:rFonts w:hint="eastAsia"/>
          <w:sz w:val="24"/>
          <w:szCs w:val="24"/>
        </w:rPr>
        <w:t>对项目需求部分（供应商其他资格要求、项目需求、评分标准）的询问、质疑请向采购人提出，由采购人负责答复；对项目磋商文件其它部分的询问请向采购人或招标代理提出。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sz w:val="24"/>
          <w:szCs w:val="24"/>
          <w:lang w:val="en-US" w:eastAsia="zh-CN"/>
        </w:rPr>
      </w:pPr>
      <w:r>
        <w:rPr>
          <w:rFonts w:hint="eastAsia"/>
          <w:sz w:val="24"/>
          <w:szCs w:val="24"/>
          <w:lang w:val="en-US" w:eastAsia="zh-CN"/>
        </w:rPr>
        <w:t>5</w:t>
      </w:r>
      <w:r>
        <w:rPr>
          <w:rFonts w:hint="eastAsia"/>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sz w:val="24"/>
          <w:szCs w:val="24"/>
          <w:lang w:val="en-US" w:eastAsia="zh-CN"/>
        </w:rPr>
        <w:t xml:space="preserve">  </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八、凡对本次采购提出询问，请按以下方式联系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w:t>
      </w:r>
      <w:r>
        <w:rPr>
          <w:rFonts w:hint="eastAsia" w:ascii="Times New Roman" w:hAnsi="Times New Roman" w:eastAsia="宋体"/>
          <w:sz w:val="24"/>
          <w:szCs w:val="24"/>
          <w:lang w:val="en-US" w:eastAsia="zh-CN"/>
        </w:rPr>
        <w:t>60</w:t>
      </w:r>
      <w:r>
        <w:rPr>
          <w:rFonts w:hint="eastAsia" w:ascii="Times New Roman" w:hAnsi="Times New Roman" w:eastAsia="宋体"/>
          <w:sz w:val="24"/>
          <w:szCs w:val="24"/>
        </w:rPr>
        <w:t>号</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10"/>
        <w:keepNext w:val="0"/>
        <w:keepLines w:val="0"/>
        <w:pageBreakBefore w:val="0"/>
        <w:widowControl w:val="0"/>
        <w:kinsoku/>
        <w:wordWrap/>
        <w:topLinePunct w:val="0"/>
        <w:autoSpaceDE/>
        <w:autoSpaceDN/>
        <w:bidi w:val="0"/>
        <w:spacing w:line="360" w:lineRule="auto"/>
        <w:rPr>
          <w:rFonts w:ascii="Times New Roman" w:hAnsi="Times New Roman" w:eastAsia="宋体"/>
          <w:kern w:val="0"/>
        </w:rPr>
      </w:pPr>
      <w:r>
        <w:rPr>
          <w:rFonts w:ascii="Times New Roman" w:hAnsi="Times New Roman" w:eastAsia="宋体"/>
          <w:kern w:val="0"/>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sz w:val="24"/>
          <w:szCs w:val="24"/>
          <w:highlight w:val="none"/>
          <w:u w:val="single"/>
        </w:rPr>
      </w:pPr>
      <w:r>
        <w:rPr>
          <w:rFonts w:hint="eastAsia" w:ascii="Times New Roman" w:hAnsi="Times New Roman" w:eastAsia="宋体" w:cs="宋体"/>
          <w:sz w:val="24"/>
          <w:szCs w:val="24"/>
          <w:highlight w:val="none"/>
        </w:rPr>
        <w:t>2、</w:t>
      </w:r>
      <w:r>
        <w:rPr>
          <w:rFonts w:hint="eastAsia" w:ascii="Times New Roman" w:hAnsi="Times New Roman" w:eastAsia="宋体" w:cs="宋体"/>
          <w:b/>
          <w:sz w:val="24"/>
          <w:szCs w:val="24"/>
          <w:highlight w:val="none"/>
        </w:rPr>
        <w:t>响应文件均为一式</w:t>
      </w:r>
      <w:r>
        <w:rPr>
          <w:rFonts w:hint="eastAsia" w:ascii="Times New Roman" w:hAnsi="Times New Roman" w:eastAsia="宋体" w:cs="宋体"/>
          <w:b/>
          <w:sz w:val="24"/>
          <w:szCs w:val="24"/>
          <w:highlight w:val="none"/>
          <w:lang w:eastAsia="zh-CN"/>
        </w:rPr>
        <w:t>叁</w:t>
      </w:r>
      <w:r>
        <w:rPr>
          <w:rFonts w:hint="eastAsia" w:ascii="Times New Roman" w:hAnsi="Times New Roman" w:eastAsia="宋体" w:cs="宋体"/>
          <w:b/>
          <w:sz w:val="24"/>
          <w:szCs w:val="24"/>
          <w:highlight w:val="none"/>
        </w:rPr>
        <w:t>份，其中</w:t>
      </w:r>
      <w:r>
        <w:rPr>
          <w:rFonts w:hint="eastAsia" w:ascii="Times New Roman" w:hAnsi="Times New Roman" w:eastAsia="宋体" w:cs="宋体"/>
          <w:b/>
          <w:sz w:val="24"/>
          <w:szCs w:val="24"/>
          <w:highlight w:val="none"/>
          <w:lang w:eastAsia="zh-CN"/>
        </w:rPr>
        <w:t>“</w:t>
      </w:r>
      <w:r>
        <w:rPr>
          <w:rFonts w:hint="eastAsia" w:ascii="Times New Roman" w:hAnsi="Times New Roman" w:eastAsia="宋体" w:cs="宋体"/>
          <w:b/>
          <w:sz w:val="24"/>
          <w:szCs w:val="24"/>
          <w:highlight w:val="none"/>
        </w:rPr>
        <w:t>正本</w:t>
      </w:r>
      <w:r>
        <w:rPr>
          <w:rFonts w:hint="eastAsia" w:ascii="Times New Roman" w:hAnsi="Times New Roman" w:eastAsia="宋体" w:cs="宋体"/>
          <w:b/>
          <w:sz w:val="24"/>
          <w:szCs w:val="24"/>
          <w:highlight w:val="none"/>
          <w:lang w:eastAsia="zh-CN"/>
        </w:rPr>
        <w:t>”</w:t>
      </w:r>
      <w:r>
        <w:rPr>
          <w:rFonts w:hint="eastAsia" w:ascii="Times New Roman" w:hAnsi="Times New Roman" w:eastAsia="宋体" w:cs="宋体"/>
          <w:b/>
          <w:sz w:val="24"/>
          <w:szCs w:val="24"/>
          <w:highlight w:val="none"/>
        </w:rPr>
        <w:t>壹份和</w:t>
      </w:r>
      <w:r>
        <w:rPr>
          <w:rFonts w:hint="eastAsia" w:ascii="Times New Roman" w:hAnsi="Times New Roman" w:eastAsia="宋体" w:cs="宋体"/>
          <w:b/>
          <w:sz w:val="24"/>
          <w:szCs w:val="24"/>
          <w:highlight w:val="none"/>
          <w:lang w:eastAsia="zh-CN"/>
        </w:rPr>
        <w:t>“</w:t>
      </w:r>
      <w:r>
        <w:rPr>
          <w:rFonts w:hint="eastAsia" w:ascii="Times New Roman" w:hAnsi="Times New Roman" w:eastAsia="宋体" w:cs="宋体"/>
          <w:b/>
          <w:sz w:val="24"/>
          <w:szCs w:val="24"/>
          <w:highlight w:val="none"/>
        </w:rPr>
        <w:t>副本</w:t>
      </w:r>
      <w:r>
        <w:rPr>
          <w:rFonts w:hint="eastAsia" w:ascii="Times New Roman" w:hAnsi="Times New Roman" w:eastAsia="宋体" w:cs="宋体"/>
          <w:b/>
          <w:sz w:val="24"/>
          <w:szCs w:val="24"/>
          <w:highlight w:val="none"/>
          <w:lang w:eastAsia="zh-CN"/>
        </w:rPr>
        <w:t>”贰</w:t>
      </w:r>
      <w:r>
        <w:rPr>
          <w:rFonts w:hint="eastAsia" w:ascii="Times New Roman" w:hAnsi="Times New Roman" w:eastAsia="宋体" w:cs="宋体"/>
          <w:b/>
          <w:sz w:val="24"/>
          <w:szCs w:val="24"/>
          <w:highlight w:val="none"/>
        </w:rPr>
        <w:t>份。</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字样。</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和</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若有差异，概以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为准。</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，其正文内容须按磋商文件要求由供应商法定代表人或被授权人签字（或盖章）并加盖单位公章。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可复印，但须加盖单位公章。</w:t>
      </w:r>
    </w:p>
    <w:p>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或</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中，均不得含有报价响应文件中报价表（报价单）内的任何项目价格，否则作无效投标处理。</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Times New Roman" w:hAnsi="Times New Roman" w:eastAsia="宋体"/>
          <w:bCs/>
          <w:sz w:val="24"/>
          <w:szCs w:val="24"/>
        </w:rPr>
        <w:t>服务的成本、利润、税金、开办费、政策性调整风险费等的所有费用；</w:t>
      </w:r>
      <w:r>
        <w:rPr>
          <w:rFonts w:hint="eastAsia" w:ascii="Times New Roman" w:hAnsi="Times New Roman" w:eastAsia="宋体" w:cs="宋体"/>
          <w:sz w:val="24"/>
          <w:szCs w:val="24"/>
        </w:rPr>
        <w:t>维保服务费、辅材费、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代理机构。</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服务费按差额定率累进法计算，以成交通知书确定的</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金额作为收费的计算依据，按招标收费标准下浮40%计算，不满1500元的，按1500元收取。</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日历天</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内响应文件应保持有效。有效期短于这个规定期限的磋商，将被拒绝。</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一、</w:t>
      </w:r>
      <w:r>
        <w:rPr>
          <w:rFonts w:hint="eastAsia" w:ascii="Times New Roman" w:hAnsi="Times New Roman" w:eastAsia="宋体" w:cs="宋体"/>
          <w:b/>
          <w:sz w:val="24"/>
          <w:szCs w:val="24"/>
        </w:rPr>
        <w:t>采购标的需实现的功能或者目标,以及为落实政府采购政策需满足的要求</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1、</w:t>
      </w:r>
      <w:r>
        <w:rPr>
          <w:rFonts w:hint="eastAsia" w:ascii="Times New Roman" w:hAnsi="Times New Roman" w:eastAsia="宋体" w:cs="宋体"/>
          <w:bCs/>
          <w:sz w:val="24"/>
          <w:szCs w:val="24"/>
        </w:rPr>
        <w:t>目前医院平台项目稳定运行，已取得良好的应用效果。但平台应用范围涉及广泛，日常运维有一定的技术要求，且目前医院信息化维护压力较大，因此需要针对平台应用过程的技术支持和维护服务内容进行采购，以便更好的保障平台项目稳定良好的使用与运转</w:t>
      </w:r>
      <w:r>
        <w:rPr>
          <w:rFonts w:hint="eastAsia" w:ascii="Times New Roman" w:hAnsi="Times New Roman" w:eastAsia="宋体" w:cs="宋体"/>
          <w:bCs/>
          <w:sz w:val="24"/>
          <w:szCs w:val="24"/>
          <w:lang w:eastAsia="zh-Hans"/>
        </w:rPr>
        <w:t>；</w:t>
      </w:r>
    </w:p>
    <w:p>
      <w:pPr>
        <w:keepNext w:val="0"/>
        <w:keepLines w:val="0"/>
        <w:pageBreakBefore w:val="0"/>
        <w:widowControl w:val="0"/>
        <w:kinsoku/>
        <w:wordWrap/>
        <w:topLinePunct w:val="0"/>
        <w:autoSpaceDE/>
        <w:autoSpaceDN/>
        <w:bidi w:val="0"/>
        <w:spacing w:line="360" w:lineRule="auto"/>
        <w:ind w:firstLine="494" w:firstLineChars="206"/>
        <w:textAlignment w:val="baseline"/>
      </w:pPr>
      <w:r>
        <w:rPr>
          <w:rFonts w:hint="eastAsia" w:ascii="Times New Roman" w:hAnsi="Times New Roman" w:eastAsia="宋体" w:cs="宋体"/>
          <w:bCs/>
          <w:sz w:val="24"/>
          <w:szCs w:val="24"/>
          <w:lang w:val="en-US" w:eastAsia="zh-CN"/>
        </w:rPr>
        <w:t>2、</w:t>
      </w:r>
      <w:r>
        <w:rPr>
          <w:rFonts w:hint="eastAsia" w:ascii="Times New Roman" w:hAnsi="Times New Roman" w:eastAsia="宋体" w:cs="宋体"/>
          <w:bCs/>
          <w:sz w:val="24"/>
          <w:szCs w:val="24"/>
        </w:rPr>
        <w:t>目前医院已实现医疗数据层面以病人为中心的信息资源的整合和利用，为了更加贴合医务人员的使用习惯，需升级患者360系统的信息展示方式、展示内容等，以及增加统计、筛选、权限管理等功能。</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二、</w:t>
      </w:r>
      <w:r>
        <w:rPr>
          <w:rFonts w:hint="eastAsia" w:ascii="Times New Roman" w:hAnsi="Times New Roman" w:eastAsia="宋体" w:cs="宋体"/>
          <w:b/>
          <w:sz w:val="24"/>
          <w:szCs w:val="24"/>
        </w:rPr>
        <w:t>采购标的需执行的国家相关标准、行业标准、地方标准或者其他标准、规范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0" w:name="_Toc6016"/>
      <w:r>
        <w:rPr>
          <w:rFonts w:hint="eastAsia" w:ascii="宋体" w:hAnsi="宋体" w:eastAsia="宋体" w:cs="宋体"/>
          <w:sz w:val="24"/>
          <w:szCs w:val="24"/>
          <w:lang w:val="en-US" w:eastAsia="zh-CN"/>
        </w:rPr>
        <w:t>1、</w:t>
      </w:r>
      <w:r>
        <w:rPr>
          <w:rFonts w:hint="eastAsia" w:ascii="宋体" w:hAnsi="宋体" w:eastAsia="宋体" w:cs="宋体"/>
          <w:sz w:val="24"/>
          <w:szCs w:val="24"/>
        </w:rPr>
        <w:t>国家政策及法规</w:t>
      </w:r>
      <w:bookmarkEnd w:id="1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《全国医院信息化建设标准与规范（试行）》；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《全国医院信息化建设应用技术指引（2017年）》；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《全国医院信息平台应用功能指引（2016）》；</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《基于电子病历的医院信息平台建设技术解决方案（1.0版）》（2011年）。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1" w:name="_Toc2937"/>
      <w:r>
        <w:rPr>
          <w:rFonts w:hint="eastAsia" w:ascii="宋体" w:hAnsi="宋体" w:eastAsia="宋体" w:cs="宋体"/>
          <w:sz w:val="24"/>
          <w:szCs w:val="24"/>
          <w:lang w:val="en-US" w:eastAsia="zh-CN"/>
        </w:rPr>
        <w:t>2、</w:t>
      </w:r>
      <w:r>
        <w:rPr>
          <w:rFonts w:hint="eastAsia" w:ascii="宋体" w:hAnsi="宋体" w:eastAsia="宋体" w:cs="宋体"/>
          <w:sz w:val="24"/>
          <w:szCs w:val="24"/>
        </w:rPr>
        <w:t>标准与规范</w:t>
      </w:r>
      <w:bookmarkEnd w:id="11"/>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《WS/T 447-2014 基于电子病历的医院信息平台技术规范》；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《计算机软件需求规格说明规范》GB／T9385—2008；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《信息建模方法》（IEEE 1320.2-1998）；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《中华人民共和国计算机信息系统安全保护条例》；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《计算机软件文档编制规范》GB／T 8567-2006；</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HL7 卫生信息交换标准（Health Level 7）；</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ICD-10：（International classification of diseases）国际疾病分类第十次修订版；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ICD-9-CM-3国际疾病分类手术编码；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CDISC：（CDISC - the Clinical Data Interchange Standards Consortium）临床数据交换标准；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《信息技术服务 运行维护 第1部分：通用要求》（GB/T 28827.1-2012）；</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《信息技术服务 运行维护 第2部分：交付规范》（GB/T 28827.2-2012）；</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《信息技术服务 运行维护 第3部分：应急响应规范》（GB/T 28827.3-2012）；</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《信息技术服务 运行维护 第4部分：数据中心服务要求》（GB/T 28827.4-2019）；</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《信息技术服务 运行维护 第6部分：应用系统服务要求》（GB/T 28827.6-2019）。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安全标准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textAlignment w:val="auto"/>
        <w:rPr>
          <w:rFonts w:hint="eastAsia" w:ascii="宋体" w:hAnsi="宋体" w:eastAsia="宋体" w:cs="宋体"/>
          <w:sz w:val="24"/>
          <w:szCs w:val="24"/>
        </w:rPr>
      </w:pPr>
      <w:r>
        <w:rPr>
          <w:rFonts w:hint="eastAsia" w:ascii="宋体" w:hAnsi="宋体" w:eastAsia="宋体" w:cs="宋体"/>
          <w:sz w:val="24"/>
          <w:szCs w:val="24"/>
        </w:rPr>
        <w:t>指导思想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《中华人民共和国网络安全法》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《中华人民共和国个人信息保护法》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中办〔2003〕27号文件（关于转发《国家信息化领导小组关于加强信息安全保障工作的意见》的通知）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全国人大《关于加强网络信息保护的决定》</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国发〔2012〕23号《国务院关于大力推进信息化发展和切实保障信息安全的若干意见》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国发〔2013〕7号《国务院关于推进物联网有序健康发展的指导意见》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公信安[2014]2182号《关于加强国家级重要信息系统安全保障工作有关事项的通知》（公信安[2014]2182号）</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textAlignment w:val="auto"/>
        <w:rPr>
          <w:rFonts w:hint="eastAsia" w:ascii="宋体" w:hAnsi="宋体" w:eastAsia="宋体" w:cs="宋体"/>
          <w:sz w:val="24"/>
          <w:szCs w:val="24"/>
        </w:rPr>
      </w:pPr>
      <w:r>
        <w:rPr>
          <w:rFonts w:hint="eastAsia" w:ascii="宋体" w:hAnsi="宋体" w:eastAsia="宋体" w:cs="宋体"/>
          <w:sz w:val="24"/>
          <w:szCs w:val="24"/>
        </w:rPr>
        <w:t>技术方面</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GB/T25066-2010信息安全产品类别与代码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GB/T20272-2006操作系统安全技术要求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GB/T20273-2006数据库管理系统安全技术要求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GB/T20009-2005数据库管理系统安全评估准则</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GB/T20945-2007信息系统安全审计产品技术要求和测试评价方法</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GB/T21028-2007服务器安全技术要求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GB/T25063-2010服务器安全测评要求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GB/T28452-2012应用软件系统通用安全技术要求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textAlignment w:val="auto"/>
        <w:rPr>
          <w:rFonts w:hint="eastAsia" w:ascii="宋体" w:hAnsi="宋体" w:eastAsia="宋体" w:cs="宋体"/>
          <w:sz w:val="24"/>
          <w:szCs w:val="24"/>
        </w:rPr>
      </w:pPr>
      <w:r>
        <w:rPr>
          <w:rFonts w:hint="eastAsia" w:ascii="宋体" w:hAnsi="宋体" w:eastAsia="宋体" w:cs="宋体"/>
          <w:sz w:val="24"/>
          <w:szCs w:val="24"/>
        </w:rPr>
        <w:t>管理方面</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GB/T20269-2006信息系统安全管理要求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GB/T28453-2012信息系统安全管理评估要求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GB/T20984-2007信息安全风险评估规范</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GB/T24364-2009信息安全风险管理指南</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GB/T20985-2007信息安全事件管理指南</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GB/T20986-2007信息安全事件分类分级指南</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GB/T20988-2007信息系统灾难恢复规范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三、</w:t>
      </w:r>
      <w:r>
        <w:rPr>
          <w:rFonts w:hint="eastAsia" w:ascii="Times New Roman" w:hAnsi="Times New Roman" w:eastAsia="宋体" w:cs="宋体"/>
          <w:b/>
          <w:sz w:val="24"/>
          <w:szCs w:val="24"/>
        </w:rPr>
        <w:t>采购标的需满足的质量、安全、技术规格、物理特性等要求</w:t>
      </w:r>
    </w:p>
    <w:p>
      <w:pPr>
        <w:pStyle w:val="4"/>
        <w:pageBreakBefore w:val="0"/>
        <w:widowControl w:val="0"/>
        <w:kinsoku/>
        <w:wordWrap/>
        <w:overflowPunct/>
        <w:topLinePunct w:val="0"/>
        <w:autoSpaceDE/>
        <w:autoSpaceDN/>
        <w:bidi w:val="0"/>
        <w:adjustRightInd/>
        <w:snapToGrid/>
        <w:spacing w:line="360" w:lineRule="auto"/>
        <w:ind w:firstLine="482" w:firstLineChars="200"/>
        <w:rPr>
          <w:sz w:val="24"/>
          <w:szCs w:val="24"/>
        </w:rPr>
      </w:pPr>
      <w:r>
        <w:rPr>
          <w:rFonts w:hint="eastAsia"/>
          <w:sz w:val="24"/>
          <w:szCs w:val="24"/>
          <w:lang w:eastAsia="zh-CN"/>
        </w:rPr>
        <w:t>（一）</w:t>
      </w:r>
      <w:r>
        <w:rPr>
          <w:rFonts w:hint="eastAsia"/>
          <w:sz w:val="24"/>
          <w:szCs w:val="24"/>
        </w:rPr>
        <w:t>信息集成平台维保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总体运维内容</w:t>
      </w:r>
    </w:p>
    <w:p>
      <w:pPr>
        <w:pageBreakBefore w:val="0"/>
        <w:widowControl w:val="0"/>
        <w:numPr>
          <w:ilvl w:val="0"/>
          <w:numId w:val="0"/>
        </w:numPr>
        <w:kinsoku/>
        <w:wordWrap/>
        <w:overflowPunct/>
        <w:topLinePunct w:val="0"/>
        <w:autoSpaceDE/>
        <w:autoSpaceDN/>
        <w:bidi w:val="0"/>
        <w:snapToGrid/>
        <w:spacing w:line="360" w:lineRule="auto"/>
        <w:ind w:leftChars="0"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软件方面：</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1）集成平台ESB服务出现问题，</w:t>
      </w:r>
      <w:r>
        <w:rPr>
          <w:rFonts w:hint="eastAsia" w:ascii="宋体" w:hAnsi="宋体" w:eastAsia="宋体" w:cs="宋体"/>
          <w:color w:val="000000"/>
          <w:kern w:val="0"/>
          <w:sz w:val="24"/>
          <w:szCs w:val="24"/>
          <w:lang w:eastAsia="zh-CN" w:bidi="ar"/>
        </w:rPr>
        <w:t>响应人</w:t>
      </w:r>
      <w:r>
        <w:rPr>
          <w:rFonts w:hint="eastAsia" w:ascii="宋体" w:hAnsi="宋体" w:eastAsia="宋体" w:cs="宋体"/>
          <w:color w:val="000000"/>
          <w:kern w:val="0"/>
          <w:sz w:val="24"/>
          <w:szCs w:val="24"/>
          <w:lang w:bidi="ar"/>
        </w:rPr>
        <w:t>需立即响应，及时处理，以免影响全院业务；</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eastAsia="zh-CN" w:bidi="ar"/>
        </w:rPr>
        <w:t>响应人</w:t>
      </w:r>
      <w:r>
        <w:rPr>
          <w:rFonts w:hint="eastAsia" w:ascii="宋体" w:hAnsi="宋体" w:eastAsia="宋体" w:cs="宋体"/>
          <w:color w:val="000000"/>
          <w:kern w:val="0"/>
          <w:sz w:val="24"/>
          <w:szCs w:val="24"/>
          <w:lang w:bidi="ar"/>
        </w:rPr>
        <w:t>需保证集成平台数仓数据完整性、时效性，运营和决策都是基于数仓展示；</w:t>
      </w:r>
    </w:p>
    <w:p>
      <w:pPr>
        <w:pageBreakBefore w:val="0"/>
        <w:widowControl w:val="0"/>
        <w:kinsoku/>
        <w:wordWrap/>
        <w:overflowPunct/>
        <w:topLinePunct w:val="0"/>
        <w:autoSpaceDE/>
        <w:autoSpaceDN/>
        <w:bidi w:val="0"/>
        <w:snapToGrid/>
        <w:spacing w:line="360" w:lineRule="auto"/>
        <w:ind w:left="420" w:leftChars="200" w:firstLine="60" w:firstLineChars="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4"/>
          <w:szCs w:val="24"/>
          <w:lang w:eastAsia="zh-CN" w:bidi="ar"/>
        </w:rPr>
        <w:t>响应人</w:t>
      </w:r>
      <w:r>
        <w:rPr>
          <w:rFonts w:hint="eastAsia" w:ascii="宋体" w:hAnsi="宋体" w:eastAsia="宋体" w:cs="宋体"/>
          <w:color w:val="auto"/>
          <w:kern w:val="0"/>
          <w:sz w:val="24"/>
          <w:szCs w:val="24"/>
          <w:lang w:bidi="ar"/>
        </w:rPr>
        <w:t>需每天定时巡检各系统运行情况，保证所有系统页面正常打开，数据展示不缺漏；</w:t>
      </w:r>
    </w:p>
    <w:p>
      <w:pPr>
        <w:pageBreakBefore w:val="0"/>
        <w:widowControl w:val="0"/>
        <w:kinsoku/>
        <w:wordWrap/>
        <w:overflowPunct/>
        <w:topLinePunct w:val="0"/>
        <w:autoSpaceDE/>
        <w:autoSpaceDN/>
        <w:bidi w:val="0"/>
        <w:snapToGrid/>
        <w:spacing w:line="360" w:lineRule="auto"/>
        <w:ind w:left="480"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eastAsia="zh-CN" w:bidi="ar"/>
        </w:rPr>
        <w:t>响应人</w:t>
      </w:r>
      <w:r>
        <w:rPr>
          <w:rFonts w:hint="eastAsia" w:ascii="宋体" w:hAnsi="宋体" w:eastAsia="宋体" w:cs="宋体"/>
          <w:color w:val="000000"/>
          <w:kern w:val="0"/>
          <w:sz w:val="24"/>
          <w:szCs w:val="24"/>
          <w:lang w:bidi="ar"/>
        </w:rPr>
        <w:t>需处理EMPI清洗消耗大量的数据库连接和游标等资源问题；</w:t>
      </w:r>
    </w:p>
    <w:p>
      <w:pPr>
        <w:pageBreakBefore w:val="0"/>
        <w:widowControl w:val="0"/>
        <w:kinsoku/>
        <w:wordWrap/>
        <w:overflowPunct/>
        <w:topLinePunct w:val="0"/>
        <w:autoSpaceDE/>
        <w:autoSpaceDN/>
        <w:bidi w:val="0"/>
        <w:snapToGrid/>
        <w:spacing w:line="360" w:lineRule="auto"/>
        <w:ind w:left="480"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hint="eastAsia" w:ascii="宋体" w:hAnsi="宋体" w:eastAsia="宋体" w:cs="宋体"/>
          <w:color w:val="000000"/>
          <w:kern w:val="0"/>
          <w:sz w:val="24"/>
          <w:szCs w:val="24"/>
          <w:lang w:eastAsia="zh-CN" w:bidi="ar"/>
        </w:rPr>
        <w:t>响应人</w:t>
      </w:r>
      <w:r>
        <w:rPr>
          <w:rFonts w:hint="eastAsia" w:ascii="宋体" w:hAnsi="宋体" w:eastAsia="宋体" w:cs="宋体"/>
          <w:color w:val="000000"/>
          <w:kern w:val="0"/>
          <w:sz w:val="24"/>
          <w:szCs w:val="24"/>
          <w:lang w:bidi="ar"/>
        </w:rPr>
        <w:t>需确保360患者视图各个事件需要有效展示。</w:t>
      </w:r>
    </w:p>
    <w:p>
      <w:pPr>
        <w:pageBreakBefore w:val="0"/>
        <w:widowControl w:val="0"/>
        <w:numPr>
          <w:ilvl w:val="0"/>
          <w:numId w:val="0"/>
        </w:numPr>
        <w:kinsoku/>
        <w:wordWrap/>
        <w:overflowPunct/>
        <w:topLinePunct w:val="0"/>
        <w:autoSpaceDE/>
        <w:autoSpaceDN/>
        <w:bidi w:val="0"/>
        <w:snapToGrid/>
        <w:spacing w:line="360" w:lineRule="auto"/>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硬件方面：</w:t>
      </w:r>
    </w:p>
    <w:p>
      <w:pPr>
        <w:pageBreakBefore w:val="0"/>
        <w:widowControl w:val="0"/>
        <w:kinsoku/>
        <w:wordWrap/>
        <w:overflowPunct/>
        <w:topLinePunct w:val="0"/>
        <w:autoSpaceDE/>
        <w:autoSpaceDN/>
        <w:bidi w:val="0"/>
        <w:snapToGrid/>
        <w:spacing w:line="360" w:lineRule="auto"/>
        <w:ind w:left="480"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1）保障集成平台项目所有服务器正常运行；</w:t>
      </w:r>
    </w:p>
    <w:p>
      <w:pPr>
        <w:pageBreakBefore w:val="0"/>
        <w:widowControl w:val="0"/>
        <w:kinsoku/>
        <w:wordWrap/>
        <w:overflowPunct/>
        <w:topLinePunct w:val="0"/>
        <w:autoSpaceDE/>
        <w:autoSpaceDN/>
        <w:bidi w:val="0"/>
        <w:snapToGrid/>
        <w:spacing w:line="360" w:lineRule="auto"/>
        <w:ind w:left="480"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2）每天定时巡检服务器磁盘与CPU占用情况。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详细维护内容</w:t>
      </w:r>
    </w:p>
    <w:p>
      <w:pPr>
        <w:pageBreakBefore w:val="0"/>
        <w:widowControl w:val="0"/>
        <w:numPr>
          <w:ilvl w:val="0"/>
          <w:numId w:val="0"/>
        </w:numPr>
        <w:kinsoku/>
        <w:wordWrap/>
        <w:overflowPunct/>
        <w:topLinePunct w:val="0"/>
        <w:autoSpaceDE/>
        <w:autoSpaceDN/>
        <w:bidi w:val="0"/>
        <w:snapToGrid/>
        <w:spacing w:line="360" w:lineRule="auto"/>
        <w:ind w:leftChars="0"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ESB维护</w:t>
      </w:r>
    </w:p>
    <w:p>
      <w:pPr>
        <w:pageBreakBefore w:val="0"/>
        <w:widowControl w:val="0"/>
        <w:numPr>
          <w:ilvl w:val="0"/>
          <w:numId w:val="5"/>
        </w:numPr>
        <w:kinsoku/>
        <w:wordWrap/>
        <w:overflowPunct/>
        <w:topLinePunct w:val="0"/>
        <w:autoSpaceDE/>
        <w:autoSpaceDN/>
        <w:bidi w:val="0"/>
        <w:snapToGrid/>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功能维护需求：</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1）确保请求应答，发布订阅，轮询各个节点正常运行；</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2）集成平台ESB服务接口日志排错；</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3）修改或完善应用期间发现的软件错误或缺陷，确保系统正常运行。</w:t>
      </w:r>
    </w:p>
    <w:p>
      <w:pPr>
        <w:pageBreakBefore w:val="0"/>
        <w:widowControl w:val="0"/>
        <w:numPr>
          <w:ilvl w:val="0"/>
          <w:numId w:val="5"/>
        </w:numPr>
        <w:kinsoku/>
        <w:wordWrap/>
        <w:overflowPunct/>
        <w:topLinePunct w:val="0"/>
        <w:autoSpaceDE/>
        <w:autoSpaceDN/>
        <w:bidi w:val="0"/>
        <w:snapToGrid/>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数据维护需求：</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1）集成平台ESB服务接口数据日志正常存储；</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2）因用户操作不当或其它系统原因造成的数据出现部分或全部错误，协助用户系统维护人员进行数据调整修正。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eastAsia="zh-Hans"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eastAsia="zh-Hans" w:bidi="ar"/>
        </w:rPr>
        <w:t>EMPI患者主索引</w:t>
      </w:r>
      <w:r>
        <w:rPr>
          <w:rFonts w:hint="eastAsia" w:ascii="宋体" w:hAnsi="宋体" w:eastAsia="宋体" w:cs="宋体"/>
          <w:color w:val="000000"/>
          <w:kern w:val="0"/>
          <w:sz w:val="24"/>
          <w:szCs w:val="24"/>
          <w:lang w:bidi="ar"/>
        </w:rPr>
        <w:t>系统</w:t>
      </w:r>
      <w:r>
        <w:rPr>
          <w:rFonts w:hint="eastAsia" w:ascii="宋体" w:hAnsi="宋体" w:eastAsia="宋体" w:cs="宋体"/>
          <w:color w:val="000000"/>
          <w:kern w:val="0"/>
          <w:sz w:val="24"/>
          <w:szCs w:val="24"/>
          <w:lang w:eastAsia="zh-Hans" w:bidi="ar"/>
        </w:rPr>
        <w:t>维护服务</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响应人</w:t>
      </w:r>
      <w:r>
        <w:rPr>
          <w:rFonts w:hint="eastAsia" w:ascii="宋体" w:hAnsi="宋体" w:eastAsia="宋体" w:cs="宋体"/>
          <w:sz w:val="24"/>
          <w:szCs w:val="24"/>
          <w:lang w:eastAsia="zh-Hans"/>
        </w:rPr>
        <w:t>需确保患者索引关系的正确建立，对于日常使用过程中发现的问题进行修复。具体维护项目需包含以下内容：</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rPr>
        <w:t>1）</w:t>
      </w:r>
      <w:r>
        <w:rPr>
          <w:rFonts w:hint="eastAsia" w:ascii="宋体" w:hAnsi="宋体" w:eastAsia="宋体" w:cs="宋体"/>
          <w:sz w:val="24"/>
          <w:szCs w:val="24"/>
          <w:lang w:eastAsia="zh-Hans"/>
        </w:rPr>
        <w:t>查看EMPI系统是否正常登陆；</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2）查看EMPI显示是否正常；</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rPr>
        <w:t>3）</w:t>
      </w:r>
      <w:r>
        <w:rPr>
          <w:rFonts w:hint="eastAsia" w:ascii="宋体" w:hAnsi="宋体" w:eastAsia="宋体" w:cs="宋体"/>
          <w:sz w:val="24"/>
          <w:szCs w:val="24"/>
          <w:lang w:eastAsia="zh-Hans"/>
        </w:rPr>
        <w:t>查看抽取mpi_data_source工作流是否正常；</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rPr>
        <w:t>4）</w:t>
      </w:r>
      <w:r>
        <w:rPr>
          <w:rFonts w:hint="eastAsia" w:ascii="宋体" w:hAnsi="宋体" w:eastAsia="宋体" w:cs="宋体"/>
          <w:sz w:val="24"/>
          <w:szCs w:val="24"/>
          <w:lang w:eastAsia="zh-Hans"/>
        </w:rPr>
        <w:t>查看抽取pi_data_source到ES工作流是否正常；</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rPr>
        <w:t>5）</w:t>
      </w:r>
      <w:r>
        <w:rPr>
          <w:rFonts w:hint="eastAsia" w:ascii="宋体" w:hAnsi="宋体" w:eastAsia="宋体" w:cs="宋体"/>
          <w:sz w:val="24"/>
          <w:szCs w:val="24"/>
          <w:lang w:eastAsia="zh-Hans"/>
        </w:rPr>
        <w:t>查看实时清洗接口是否正常；</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Hans"/>
        </w:rPr>
        <w:t>查看EMPI每天清洗量是否正常</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eastAsia="zh-Hans"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eastAsia="zh-CN" w:bidi="ar"/>
        </w:rPr>
        <w:t>）患者360视图系统</w:t>
      </w:r>
      <w:r>
        <w:rPr>
          <w:rFonts w:hint="eastAsia" w:ascii="宋体" w:hAnsi="宋体" w:eastAsia="宋体" w:cs="宋体"/>
          <w:color w:val="000000"/>
          <w:kern w:val="0"/>
          <w:sz w:val="24"/>
          <w:szCs w:val="24"/>
          <w:lang w:eastAsia="zh-Hans" w:bidi="ar"/>
        </w:rPr>
        <w:t>维护服务</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响应人</w:t>
      </w:r>
      <w:r>
        <w:rPr>
          <w:rFonts w:hint="eastAsia" w:ascii="宋体" w:hAnsi="宋体" w:eastAsia="宋体" w:cs="宋体"/>
          <w:sz w:val="24"/>
          <w:szCs w:val="24"/>
          <w:lang w:eastAsia="zh-Hans"/>
        </w:rPr>
        <w:t>需</w:t>
      </w:r>
      <w:r>
        <w:rPr>
          <w:rFonts w:hint="eastAsia" w:ascii="宋体" w:hAnsi="宋体" w:eastAsia="宋体" w:cs="宋体"/>
          <w:sz w:val="24"/>
          <w:szCs w:val="24"/>
        </w:rPr>
        <w:t>对医院在患者360视图</w:t>
      </w:r>
      <w:r>
        <w:rPr>
          <w:rFonts w:hint="eastAsia" w:ascii="宋体" w:hAnsi="宋体" w:eastAsia="宋体" w:cs="宋体"/>
          <w:sz w:val="24"/>
          <w:szCs w:val="24"/>
          <w:lang w:eastAsia="zh-Hans"/>
        </w:rPr>
        <w:t>日常使用过程中发现的问题进行</w:t>
      </w:r>
      <w:r>
        <w:rPr>
          <w:rFonts w:hint="eastAsia" w:ascii="宋体" w:hAnsi="宋体" w:eastAsia="宋体" w:cs="宋体"/>
          <w:sz w:val="24"/>
          <w:szCs w:val="24"/>
        </w:rPr>
        <w:t>及时回复和处理</w:t>
      </w:r>
      <w:r>
        <w:rPr>
          <w:rFonts w:hint="eastAsia" w:ascii="宋体" w:hAnsi="宋体" w:eastAsia="宋体" w:cs="宋体"/>
          <w:sz w:val="24"/>
          <w:szCs w:val="24"/>
          <w:lang w:eastAsia="zh-Hans"/>
        </w:rPr>
        <w:t>。具体维护项目需包含以下内容：</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rPr>
        <w:t>1）</w:t>
      </w:r>
      <w:r>
        <w:rPr>
          <w:rFonts w:hint="eastAsia" w:ascii="宋体" w:hAnsi="宋体" w:eastAsia="宋体" w:cs="宋体"/>
          <w:sz w:val="24"/>
          <w:szCs w:val="24"/>
          <w:lang w:eastAsia="zh-Hans"/>
        </w:rPr>
        <w:t>查看患者360系统是否正常登陆；</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rPr>
        <w:t>2）</w:t>
      </w:r>
      <w:r>
        <w:rPr>
          <w:rFonts w:hint="eastAsia" w:ascii="宋体" w:hAnsi="宋体" w:eastAsia="宋体" w:cs="宋体"/>
          <w:sz w:val="24"/>
          <w:szCs w:val="24"/>
          <w:lang w:eastAsia="zh-Hans"/>
        </w:rPr>
        <w:t>查看门诊住院病人数据能否展示；</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rPr>
        <w:t>3）</w:t>
      </w:r>
      <w:r>
        <w:rPr>
          <w:rFonts w:hint="eastAsia" w:ascii="宋体" w:hAnsi="宋体" w:eastAsia="宋体" w:cs="宋体"/>
          <w:sz w:val="24"/>
          <w:szCs w:val="24"/>
          <w:lang w:eastAsia="zh-Hans"/>
        </w:rPr>
        <w:t>查看门诊住院历史次数展示是否正常；</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Hans"/>
        </w:rPr>
        <w:t>查看抽取</w:t>
      </w:r>
      <w:r>
        <w:rPr>
          <w:rFonts w:hint="eastAsia" w:ascii="宋体" w:hAnsi="宋体" w:eastAsia="宋体" w:cs="宋体"/>
          <w:color w:val="000000"/>
          <w:kern w:val="0"/>
          <w:sz w:val="24"/>
          <w:szCs w:val="24"/>
          <w:lang w:bidi="ar"/>
        </w:rPr>
        <w:t>检验、检查、出入院、护理、医嘱</w:t>
      </w:r>
      <w:r>
        <w:rPr>
          <w:rFonts w:hint="eastAsia" w:ascii="宋体" w:hAnsi="宋体" w:eastAsia="宋体" w:cs="宋体"/>
          <w:sz w:val="24"/>
          <w:szCs w:val="24"/>
          <w:lang w:eastAsia="zh-Hans"/>
        </w:rPr>
        <w:t>等事件的工作流是否正常抽取</w:t>
      </w:r>
      <w:r>
        <w:rPr>
          <w:rFonts w:hint="eastAsia" w:ascii="宋体" w:hAnsi="宋体" w:eastAsia="宋体" w:cs="宋体"/>
          <w:sz w:val="24"/>
          <w:szCs w:val="24"/>
        </w:rPr>
        <w:t>；</w:t>
      </w:r>
    </w:p>
    <w:p>
      <w:pPr>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5）查看系统界面展示是否正常，并优化系统展示界面，如检验折线图等。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eastAsia="zh-CN" w:bidi="ar"/>
        </w:rPr>
        <w:t>）其他维护需求：</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1）管理培训：对院方管理人员或者相关负责人进行系统的管理思想、管理流程统一培训；</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2）维护培训：因院方人员离职或岗位调动需要进行相关培训；</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3）巡检服务：月度（季度）巡检，提供巡检报告，提供常见问题解决办法；</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4）热线服务：提供与软件系统相关的咨询服务及建立系统维护制度；</w:t>
      </w:r>
    </w:p>
    <w:p>
      <w:pPr>
        <w:pageBreakBefore w:val="0"/>
        <w:widowControl w:val="0"/>
        <w:kinsoku/>
        <w:wordWrap/>
        <w:overflowPunct/>
        <w:topLinePunct w:val="0"/>
        <w:autoSpaceDE/>
        <w:autoSpaceDN/>
        <w:bidi w:val="0"/>
        <w:snapToGrid/>
        <w:spacing w:line="360" w:lineRule="auto"/>
        <w:ind w:firstLine="48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5）问题解答：及时解答系统及数据库疑难问题。</w:t>
      </w:r>
    </w:p>
    <w:p>
      <w:pPr>
        <w:pStyle w:val="4"/>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eastAsia="zh-CN"/>
        </w:rPr>
      </w:pPr>
      <w:r>
        <w:rPr>
          <w:rFonts w:hint="eastAsia"/>
          <w:sz w:val="24"/>
          <w:szCs w:val="24"/>
          <w:lang w:eastAsia="zh-CN"/>
        </w:rPr>
        <w:t>（二）患者360视图升级</w:t>
      </w:r>
    </w:p>
    <w:p>
      <w:pPr>
        <w:pStyle w:val="5"/>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响应人</w:t>
      </w:r>
      <w:r>
        <w:rPr>
          <w:rFonts w:hint="eastAsia" w:ascii="宋体" w:hAnsi="宋体" w:eastAsia="宋体" w:cs="宋体"/>
          <w:sz w:val="24"/>
          <w:szCs w:val="24"/>
        </w:rPr>
        <w:t>需按照以下要求进行患者360升级：</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增加搜索条件引擎（姓名、身份证号码、科室病区、门急诊住院号、时间范围等）；</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患者列表模式增加字体高亮和提醒，增加医院需要展示的信息；</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增加科室统计功能：展示门诊住院各科室病区对应患者费用类型为医保的统计结果；</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患者信息UI页面全面升级；</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增加门诊处方展示模式；</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增加360模式和时间轴模式展示效果；</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增加住院医嘱模块；</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增加重症记录单和护理记录单；</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检验报告中的指标增加高亮显示和高低箭头；</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增加患者就诊记录搜索功能；</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增加权限配置；</w:t>
      </w:r>
    </w:p>
    <w:p>
      <w:pPr>
        <w:pageBreakBefore w:val="0"/>
        <w:widowControl w:val="0"/>
        <w:numPr>
          <w:ilvl w:val="0"/>
          <w:numId w:val="0"/>
        </w:numPr>
        <w:kinsoku/>
        <w:wordWrap/>
        <w:overflowPunct/>
        <w:topLinePunct w:val="0"/>
        <w:autoSpaceDE/>
        <w:autoSpaceDN/>
        <w:bidi w:val="0"/>
        <w:snapToGrid/>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增加部门管理分级制度；</w:t>
      </w:r>
    </w:p>
    <w:p>
      <w:pPr>
        <w:pageBreakBefore w:val="0"/>
        <w:widowControl w:val="0"/>
        <w:numPr>
          <w:ilvl w:val="0"/>
          <w:numId w:val="0"/>
        </w:numPr>
        <w:kinsoku/>
        <w:wordWrap/>
        <w:overflowPunct/>
        <w:topLinePunct w:val="0"/>
        <w:autoSpaceDE/>
        <w:autoSpaceDN/>
        <w:bidi w:val="0"/>
        <w:snapToGrid/>
        <w:spacing w:line="360" w:lineRule="auto"/>
        <w:ind w:left="480" w:leftChars="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eastAsia="宋体" w:cs="宋体"/>
          <w:sz w:val="24"/>
          <w:szCs w:val="24"/>
        </w:rPr>
        <w:t>用户管理中增加编辑和密码重置等功能。</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四、</w:t>
      </w:r>
      <w:r>
        <w:rPr>
          <w:rFonts w:hint="eastAsia" w:ascii="Times New Roman" w:hAnsi="Times New Roman" w:eastAsia="宋体" w:cs="宋体"/>
          <w:b/>
          <w:sz w:val="24"/>
          <w:szCs w:val="24"/>
        </w:rPr>
        <w:t>采购标的数量、采购项目交付或者实施的时间和地点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服务实施期限：服务期限为三年，合同一年一签，双方无异议可续签，续签不超过两次。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服务交付地点：南通市第三人民医院用户指定现场。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采购清单</w:t>
      </w:r>
    </w:p>
    <w:tbl>
      <w:tblPr>
        <w:tblStyle w:val="27"/>
        <w:tblW w:w="4660" w:type="pct"/>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3" w:type="pct"/>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136" w:type="pct"/>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3" w:type="pct"/>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4136" w:type="pct"/>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医院信息集成平台运维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3" w:type="pct"/>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4136" w:type="pct"/>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患者360视图升级</w:t>
            </w:r>
          </w:p>
        </w:tc>
      </w:tr>
    </w:tbl>
    <w:p>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五、</w:t>
      </w:r>
      <w:r>
        <w:rPr>
          <w:rFonts w:hint="eastAsia" w:ascii="Times New Roman" w:hAnsi="Times New Roman" w:eastAsia="宋体" w:cs="宋体"/>
          <w:b/>
          <w:sz w:val="24"/>
          <w:szCs w:val="24"/>
        </w:rPr>
        <w:t>采购标的需满足的服务标准、期限、效率等要求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系统故障的响应时间：</w:t>
      </w:r>
      <w:r>
        <w:rPr>
          <w:rFonts w:hint="eastAsia" w:ascii="宋体" w:hAnsi="宋体" w:eastAsia="宋体" w:cs="宋体"/>
          <w:sz w:val="24"/>
          <w:szCs w:val="24"/>
          <w:lang w:val="en-US" w:eastAsia="zh-CN"/>
        </w:rPr>
        <w:t>响应人应</w:t>
      </w:r>
      <w:r>
        <w:rPr>
          <w:rFonts w:hint="eastAsia" w:ascii="宋体" w:hAnsi="宋体" w:eastAsia="宋体" w:cs="宋体"/>
          <w:sz w:val="24"/>
          <w:szCs w:val="24"/>
          <w:lang w:val="zh-CN" w:eastAsia="zh-CN"/>
        </w:rPr>
        <w:t>提供7X24小时技术支持热线电话，保证出现故障时立即远程响应。当设备发生故障，在接到维修通知后2小时内响应并及时派工程师解决问题。如遇紧急情况，在24小时内赶到现场。</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六、</w:t>
      </w:r>
      <w:r>
        <w:rPr>
          <w:rFonts w:hint="eastAsia" w:ascii="Times New Roman" w:hAnsi="Times New Roman" w:eastAsia="宋体" w:cs="宋体"/>
          <w:b/>
          <w:sz w:val="24"/>
          <w:szCs w:val="24"/>
        </w:rPr>
        <w:t>采购标的验收标准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采购单位按合同约定积极配合供应商履约，按合同约定及时组织相关专业技术人员进行验收，并出具验收报告，验收合格的作为支付款项的依据。</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七、</w:t>
      </w:r>
      <w:r>
        <w:rPr>
          <w:rFonts w:hint="eastAsia" w:ascii="Times New Roman" w:hAnsi="Times New Roman" w:eastAsia="宋体" w:cs="宋体"/>
          <w:b/>
          <w:sz w:val="24"/>
          <w:szCs w:val="24"/>
        </w:rPr>
        <w:t>采购标的其他技术、服务等要求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质量保证期内提供工程师免费上门安装、调试、更换所供设备的所有零部件，设备所有软件系统、相关数据库均提供免费升级服务；提供完备的软件、技术资料和用户维护手册。</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八、</w:t>
      </w:r>
      <w:r>
        <w:rPr>
          <w:rFonts w:hint="eastAsia" w:ascii="Times New Roman" w:hAnsi="Times New Roman" w:eastAsia="宋体" w:cs="宋体"/>
          <w:b/>
          <w:sz w:val="24"/>
          <w:szCs w:val="24"/>
        </w:rPr>
        <w:t>付款条件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1、合同的签订：自采购中心中标（成交）通知书发出之日起15个工作日内按时签约。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2、付款方式：合同签订生效后算起，每个季度付每年服务费的25%，每个季度的首</w:t>
      </w:r>
      <w:r>
        <w:rPr>
          <w:rFonts w:hint="eastAsia" w:ascii="宋体" w:hAnsi="宋体" w:eastAsia="宋体" w:cs="宋体"/>
          <w:color w:val="auto"/>
          <w:sz w:val="24"/>
          <w:szCs w:val="24"/>
          <w:lang w:val="zh-CN" w:eastAsia="zh-CN"/>
        </w:rPr>
        <w:t>月采购人收到供应商开具的</w:t>
      </w:r>
      <w:r>
        <w:rPr>
          <w:rFonts w:hint="eastAsia" w:ascii="宋体" w:hAnsi="宋体" w:eastAsia="宋体" w:cs="宋体"/>
          <w:sz w:val="24"/>
          <w:szCs w:val="24"/>
          <w:lang w:val="zh-CN" w:eastAsia="zh-CN"/>
        </w:rPr>
        <w:t>增值税发票的一个月之内支付。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w w:val="80"/>
          <w:sz w:val="48"/>
          <w:szCs w:val="44"/>
        </w:rPr>
      </w:pPr>
      <w:r>
        <w:rPr>
          <w:rFonts w:hint="eastAsia" w:ascii="宋体" w:hAnsi="宋体" w:eastAsia="宋体" w:cs="宋体"/>
          <w:sz w:val="24"/>
          <w:szCs w:val="24"/>
          <w:lang w:val="zh-CN" w:eastAsia="zh-CN"/>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2" w:name="_Toc38121794"/>
      <w:bookmarkStart w:id="13" w:name="_Toc43217893"/>
      <w:bookmarkStart w:id="14" w:name="_Toc37322565"/>
      <w:bookmarkStart w:id="15" w:name="_Toc85627670"/>
      <w:bookmarkStart w:id="16" w:name="_Toc182848996"/>
      <w:r>
        <w:rPr>
          <w:rFonts w:hint="eastAsia" w:ascii="Times New Roman" w:hAnsi="Times New Roman" w:eastAsia="宋体" w:cs="宋体"/>
          <w:w w:val="80"/>
          <w:sz w:val="48"/>
          <w:szCs w:val="44"/>
        </w:rPr>
        <w:t xml:space="preserve"> 评审方法和程序</w:t>
      </w:r>
      <w:bookmarkEnd w:id="12"/>
      <w:bookmarkEnd w:id="13"/>
      <w:bookmarkEnd w:id="14"/>
      <w:bookmarkEnd w:id="15"/>
      <w:bookmarkEnd w:id="16"/>
    </w:p>
    <w:p>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bookmarkStart w:id="17" w:name="_Toc363573857"/>
      <w:bookmarkEnd w:id="17"/>
      <w:r>
        <w:rPr>
          <w:rFonts w:hint="eastAsia" w:ascii="Times New Roman" w:hAnsi="Times New Roman" w:eastAsia="宋体" w:cs="宋体"/>
          <w:b/>
          <w:bCs/>
          <w:szCs w:val="24"/>
          <w:shd w:val="clear" w:color="auto" w:fill="FFFFFF"/>
        </w:rPr>
        <w:t>一、代理机构组织磋商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二、磋商的原则及方法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公开、公平、公正、择优、信用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的原则进行磋商评审。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三、磋商评定结果的方法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80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20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四、综合评分评审标准</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sz w:val="24"/>
          <w:szCs w:val="24"/>
          <w:lang w:val="en-US" w:eastAsia="zh-CN"/>
        </w:rPr>
      </w:pPr>
      <w:r>
        <w:rPr>
          <w:rFonts w:hint="eastAsia" w:ascii="Times New Roman" w:hAnsi="Times New Roman" w:eastAsia="宋体" w:cs="宋体"/>
          <w:b/>
          <w:bCs/>
          <w:szCs w:val="24"/>
          <w:shd w:val="clear" w:color="auto" w:fill="FFFFFF"/>
        </w:rPr>
        <w:t>（一）商务技术分：</w:t>
      </w:r>
      <w:r>
        <w:rPr>
          <w:rFonts w:hint="eastAsia" w:ascii="Times New Roman" w:hAnsi="Times New Roman" w:cs="宋体"/>
          <w:b/>
          <w:bCs/>
          <w:szCs w:val="24"/>
          <w:shd w:val="clear" w:color="auto" w:fill="FFFFFF"/>
          <w:lang w:val="en-US" w:eastAsia="zh-CN"/>
        </w:rPr>
        <w:t>80</w:t>
      </w:r>
      <w:r>
        <w:rPr>
          <w:rFonts w:hint="eastAsia" w:ascii="Times New Roman" w:hAnsi="Times New Roman" w:eastAsia="宋体" w:cs="宋体"/>
          <w:b/>
          <w:bCs/>
          <w:szCs w:val="24"/>
          <w:shd w:val="clear" w:color="auto" w:fill="FFFFFF"/>
        </w:rPr>
        <w:t>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04"/>
        <w:gridCol w:w="701"/>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tcBorders>
              <w:tl2br w:val="nil"/>
              <w:tr2bl w:val="nil"/>
            </w:tcBorders>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序号</w:t>
            </w:r>
          </w:p>
        </w:tc>
        <w:tc>
          <w:tcPr>
            <w:tcW w:w="1404" w:type="dxa"/>
            <w:tcBorders>
              <w:tl2br w:val="nil"/>
              <w:tr2bl w:val="nil"/>
            </w:tcBorders>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评审项目</w:t>
            </w:r>
          </w:p>
        </w:tc>
        <w:tc>
          <w:tcPr>
            <w:tcW w:w="701" w:type="dxa"/>
            <w:tcBorders>
              <w:tl2br w:val="nil"/>
              <w:tr2bl w:val="nil"/>
            </w:tcBorders>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eastAsia="zh-CN"/>
              </w:rPr>
              <w:t>满</w:t>
            </w:r>
            <w:r>
              <w:rPr>
                <w:rFonts w:hint="eastAsia" w:ascii="宋体" w:hAnsi="宋体" w:eastAsia="宋体" w:cs="宋体"/>
                <w:b/>
                <w:bCs/>
                <w:sz w:val="24"/>
                <w:szCs w:val="24"/>
              </w:rPr>
              <w:t>分</w:t>
            </w:r>
          </w:p>
        </w:tc>
        <w:tc>
          <w:tcPr>
            <w:tcW w:w="6143" w:type="dxa"/>
            <w:tcBorders>
              <w:tl2br w:val="nil"/>
              <w:tr2bl w:val="nil"/>
            </w:tcBorders>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技术评审因素及评分规定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404" w:type="dxa"/>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服务方案</w:t>
            </w:r>
          </w:p>
        </w:tc>
        <w:tc>
          <w:tcPr>
            <w:tcW w:w="701"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20</w:t>
            </w:r>
          </w:p>
        </w:tc>
        <w:tc>
          <w:tcPr>
            <w:tcW w:w="6143"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根据服务方案设计、服务详细内容、应急预案等的科学、合理、完善，可操作性及合理化建议进行综合评价。综合评价针对性强、方案优秀的得15-20分；较好的得8-14分；一般的得1-7分</w:t>
            </w:r>
            <w:r>
              <w:rPr>
                <w:rFonts w:hint="eastAsia" w:ascii="宋体" w:hAnsi="宋体" w:eastAsia="宋体" w:cs="宋体"/>
                <w:color w:val="auto"/>
                <w:sz w:val="24"/>
                <w:szCs w:val="24"/>
                <w:lang w:eastAsia="zh-CN"/>
              </w:rPr>
              <w:t>；不提供不得分。</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404" w:type="dxa"/>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运维服务</w:t>
            </w:r>
          </w:p>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流程管理</w:t>
            </w:r>
          </w:p>
        </w:tc>
        <w:tc>
          <w:tcPr>
            <w:tcW w:w="701"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20</w:t>
            </w:r>
          </w:p>
        </w:tc>
        <w:tc>
          <w:tcPr>
            <w:tcW w:w="6143" w:type="dxa"/>
            <w:tcBorders>
              <w:tl2br w:val="nil"/>
              <w:tr2bl w:val="nil"/>
            </w:tcBorders>
            <w:vAlign w:val="center"/>
          </w:tcPr>
          <w:p>
            <w:pPr>
              <w:pageBreakBefore w:val="0"/>
              <w:kinsoku/>
              <w:wordWrap/>
              <w:topLinePunct w:val="0"/>
              <w:autoSpaceDE/>
              <w:autoSpaceDN/>
              <w:bidi w:val="0"/>
              <w:spacing w:line="360" w:lineRule="auto"/>
              <w:ind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响应供应商根据项目实际需求提供</w:t>
            </w:r>
            <w:r>
              <w:rPr>
                <w:rFonts w:hint="eastAsia" w:ascii="宋体" w:hAnsi="宋体" w:eastAsia="宋体" w:cs="宋体"/>
                <w:color w:val="auto"/>
                <w:sz w:val="24"/>
                <w:szCs w:val="24"/>
              </w:rPr>
              <w:t>运维服务流程</w:t>
            </w:r>
            <w:r>
              <w:rPr>
                <w:rFonts w:hint="eastAsia" w:ascii="宋体" w:hAnsi="宋体" w:eastAsia="宋体" w:cs="宋体"/>
                <w:color w:val="auto"/>
                <w:sz w:val="24"/>
                <w:szCs w:val="24"/>
                <w:lang w:eastAsia="zh-CN"/>
              </w:rPr>
              <w:t>。</w:t>
            </w:r>
          </w:p>
          <w:p>
            <w:pPr>
              <w:pageBreakBefore w:val="0"/>
              <w:kinsoku/>
              <w:wordWrap/>
              <w:topLinePunct w:val="0"/>
              <w:autoSpaceDE/>
              <w:autoSpaceDN/>
              <w:bidi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优：</w:t>
            </w:r>
            <w:r>
              <w:rPr>
                <w:rFonts w:hint="eastAsia" w:ascii="宋体" w:hAnsi="宋体" w:eastAsia="宋体" w:cs="宋体"/>
                <w:color w:val="auto"/>
                <w:sz w:val="24"/>
                <w:szCs w:val="24"/>
              </w:rPr>
              <w:t>运维服务流程完全符合或优于项目要求的运维流程体系，且针对性强的得15-20分；</w:t>
            </w:r>
          </w:p>
          <w:p>
            <w:pPr>
              <w:pageBreakBefore w:val="0"/>
              <w:kinsoku/>
              <w:wordWrap/>
              <w:topLinePunct w:val="0"/>
              <w:autoSpaceDE/>
              <w:autoSpaceDN/>
              <w:bidi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运维服务流程基本符合项目需要，针对性一般的得8-14分；</w:t>
            </w:r>
          </w:p>
          <w:p>
            <w:pPr>
              <w:pageBreakBefore w:val="0"/>
              <w:kinsoku/>
              <w:wordWrap/>
              <w:topLinePunct w:val="0"/>
              <w:autoSpaceDE/>
              <w:autoSpaceDN/>
              <w:bidi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差：</w:t>
            </w:r>
            <w:r>
              <w:rPr>
                <w:rFonts w:hint="eastAsia" w:ascii="宋体" w:hAnsi="宋体" w:eastAsia="宋体" w:cs="宋体"/>
                <w:color w:val="auto"/>
                <w:sz w:val="24"/>
                <w:szCs w:val="24"/>
              </w:rPr>
              <w:t>运维服务流程部分符合项目需要，针对性较差的得1-7分。</w:t>
            </w:r>
          </w:p>
          <w:p>
            <w:pPr>
              <w:pStyle w:val="2"/>
              <w:rPr>
                <w:rFonts w:hint="eastAsia"/>
                <w:color w:val="auto"/>
              </w:rPr>
            </w:pPr>
            <w:r>
              <w:rPr>
                <w:rFonts w:hint="eastAsia" w:ascii="宋体" w:hAnsi="宋体" w:eastAsia="宋体" w:cs="宋体"/>
                <w:color w:val="auto"/>
                <w:sz w:val="24"/>
                <w:szCs w:val="24"/>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lang w:eastAsia="zh-CN"/>
              </w:rPr>
            </w:pPr>
            <w:bookmarkStart w:id="19" w:name="_GoBack" w:colFirst="3" w:colLast="3"/>
            <w:r>
              <w:rPr>
                <w:rFonts w:hint="eastAsia" w:ascii="宋体" w:hAnsi="宋体" w:eastAsia="宋体" w:cs="宋体"/>
                <w:sz w:val="24"/>
                <w:szCs w:val="24"/>
                <w:lang w:val="en-US" w:eastAsia="zh-CN"/>
              </w:rPr>
              <w:t>3</w:t>
            </w:r>
          </w:p>
        </w:tc>
        <w:tc>
          <w:tcPr>
            <w:tcW w:w="1404" w:type="dxa"/>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Hans"/>
              </w:rPr>
              <w:t>服务保障能力</w:t>
            </w:r>
          </w:p>
        </w:tc>
        <w:tc>
          <w:tcPr>
            <w:tcW w:w="701"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20</w:t>
            </w:r>
          </w:p>
        </w:tc>
        <w:tc>
          <w:tcPr>
            <w:tcW w:w="6143"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根据服务方案、日常运行维护、故障响应、培训是否完备、合理，可执行程度是否科学，交货期、保修期、售后服务的响应时间等进行综合评分。</w:t>
            </w:r>
          </w:p>
          <w:p>
            <w:pPr>
              <w:pageBreakBefore w:val="0"/>
              <w:kinsoku/>
              <w:wordWrap/>
              <w:topLinePunct w:val="0"/>
              <w:autoSpaceDE/>
              <w:autoSpaceDN/>
              <w:bidi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优：</w:t>
            </w:r>
            <w:r>
              <w:rPr>
                <w:rFonts w:hint="eastAsia" w:ascii="宋体" w:hAnsi="宋体" w:eastAsia="宋体" w:cs="宋体"/>
                <w:color w:val="auto"/>
                <w:sz w:val="24"/>
                <w:szCs w:val="24"/>
              </w:rPr>
              <w:t>服务方案、日常运行维护、故障响应、培训方案提供的较为完善，科学，符合本项目需求的得15-20分；</w:t>
            </w:r>
          </w:p>
          <w:p>
            <w:pPr>
              <w:pageBreakBefore w:val="0"/>
              <w:kinsoku/>
              <w:wordWrap/>
              <w:topLinePunct w:val="0"/>
              <w:autoSpaceDE/>
              <w:autoSpaceDN/>
              <w:bidi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服务及培训一般的得8-14分；</w:t>
            </w:r>
          </w:p>
          <w:p>
            <w:pPr>
              <w:pageBreakBefore w:val="0"/>
              <w:kinsoku/>
              <w:wordWrap/>
              <w:topLinePunct w:val="0"/>
              <w:autoSpaceDE/>
              <w:autoSpaceDN/>
              <w:bidi w:val="0"/>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差：</w:t>
            </w:r>
            <w:r>
              <w:rPr>
                <w:rFonts w:hint="eastAsia" w:ascii="宋体" w:hAnsi="宋体" w:eastAsia="宋体" w:cs="宋体"/>
                <w:color w:val="auto"/>
                <w:sz w:val="24"/>
                <w:szCs w:val="24"/>
              </w:rPr>
              <w:t>提供的服务和培训较差；不提供售后服务，或者提供的服务与本项目无关的得1-7分</w:t>
            </w:r>
            <w:r>
              <w:rPr>
                <w:rFonts w:hint="eastAsia" w:ascii="宋体" w:hAnsi="宋体" w:eastAsia="宋体" w:cs="宋体"/>
                <w:color w:val="auto"/>
                <w:sz w:val="24"/>
                <w:szCs w:val="24"/>
                <w:lang w:eastAsia="zh-CN"/>
              </w:rPr>
              <w:t>。</w:t>
            </w:r>
          </w:p>
          <w:p>
            <w:pPr>
              <w:pStyle w:val="2"/>
              <w:rPr>
                <w:rFonts w:hint="eastAsia"/>
                <w:color w:val="auto"/>
                <w:lang w:eastAsia="zh-CN"/>
              </w:rPr>
            </w:pPr>
            <w:r>
              <w:rPr>
                <w:rFonts w:hint="eastAsia" w:ascii="宋体" w:hAnsi="宋体" w:eastAsia="宋体" w:cs="宋体"/>
                <w:color w:val="auto"/>
                <w:sz w:val="24"/>
                <w:szCs w:val="24"/>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8" w:type="dxa"/>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404" w:type="dxa"/>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服务人员配备</w:t>
            </w:r>
          </w:p>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和管理</w:t>
            </w:r>
          </w:p>
        </w:tc>
        <w:tc>
          <w:tcPr>
            <w:tcW w:w="701"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w:t>
            </w:r>
          </w:p>
        </w:tc>
        <w:tc>
          <w:tcPr>
            <w:tcW w:w="6143"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1.项目经理：具有系统集成项目管理工程师和网络工程师证书，得1分；</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2.项目团队成员：</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（1）具有系统集成项目管理工程师证书，得1分；</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（2）具有PMP证书，得1分；</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（3）具有OCP证书，得1分；</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方提供以上证明材料，一项得1分，最高得4分；</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注：提供以上人员相关资质证书复印件以及在</w:t>
            </w:r>
            <w:r>
              <w:rPr>
                <w:rFonts w:hint="eastAsia" w:ascii="宋体" w:hAnsi="宋体" w:eastAsia="宋体" w:cs="宋体"/>
                <w:sz w:val="24"/>
                <w:szCs w:val="24"/>
                <w:lang w:eastAsia="zh-CN"/>
              </w:rPr>
              <w:t>响应</w:t>
            </w:r>
            <w:r>
              <w:rPr>
                <w:rFonts w:hint="eastAsia" w:ascii="宋体" w:hAnsi="宋体" w:eastAsia="宋体" w:cs="宋体"/>
                <w:sz w:val="24"/>
                <w:szCs w:val="24"/>
              </w:rPr>
              <w:t>方名下近六个月内任意</w:t>
            </w:r>
            <w:r>
              <w:rPr>
                <w:rFonts w:hint="eastAsia" w:ascii="宋体" w:hAnsi="宋体" w:eastAsia="宋体" w:cs="宋体"/>
                <w:sz w:val="24"/>
                <w:szCs w:val="24"/>
                <w:lang w:eastAsia="zh-Hans"/>
              </w:rPr>
              <w:t>一个月</w:t>
            </w:r>
            <w:r>
              <w:rPr>
                <w:rFonts w:hint="eastAsia" w:ascii="宋体" w:hAnsi="宋体" w:eastAsia="宋体" w:cs="宋体"/>
                <w:sz w:val="24"/>
                <w:szCs w:val="24"/>
              </w:rPr>
              <w:t>的购买社保的证明文件扫描件附于</w:t>
            </w:r>
            <w:r>
              <w:rPr>
                <w:rFonts w:hint="eastAsia" w:ascii="宋体" w:hAnsi="宋体" w:eastAsia="宋体" w:cs="宋体"/>
                <w:sz w:val="24"/>
                <w:szCs w:val="24"/>
                <w:lang w:eastAsia="zh-CN"/>
              </w:rPr>
              <w:t>响应</w:t>
            </w:r>
            <w:r>
              <w:rPr>
                <w:rFonts w:hint="eastAsia" w:ascii="宋体" w:hAnsi="宋体" w:eastAsia="宋体" w:cs="宋体"/>
                <w:sz w:val="24"/>
                <w:szCs w:val="24"/>
              </w:rPr>
              <w:t>文件中并加盖</w:t>
            </w:r>
            <w:r>
              <w:rPr>
                <w:rFonts w:hint="eastAsia" w:ascii="宋体" w:hAnsi="宋体" w:eastAsia="宋体" w:cs="宋体"/>
                <w:sz w:val="24"/>
                <w:szCs w:val="24"/>
                <w:lang w:eastAsia="zh-CN"/>
              </w:rPr>
              <w:t>响应</w:t>
            </w:r>
            <w:r>
              <w:rPr>
                <w:rFonts w:hint="eastAsia" w:ascii="宋体" w:hAnsi="宋体" w:eastAsia="宋体" w:cs="宋体"/>
                <w:sz w:val="24"/>
                <w:szCs w:val="24"/>
              </w:rPr>
              <w:t>方公章；不提供相关材料不得分。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8" w:type="dxa"/>
            <w:vMerge w:val="restart"/>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404" w:type="dxa"/>
            <w:vMerge w:val="restart"/>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企业综合实力</w:t>
            </w:r>
          </w:p>
        </w:tc>
        <w:tc>
          <w:tcPr>
            <w:tcW w:w="701"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w:t>
            </w:r>
          </w:p>
        </w:tc>
        <w:tc>
          <w:tcPr>
            <w:tcW w:w="6143"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lang w:eastAsia="zh-Hans"/>
              </w:rPr>
              <w:t>方</w:t>
            </w:r>
            <w:r>
              <w:rPr>
                <w:rFonts w:hint="eastAsia" w:ascii="宋体" w:hAnsi="宋体" w:eastAsia="宋体" w:cs="宋体"/>
                <w:sz w:val="24"/>
                <w:szCs w:val="24"/>
              </w:rPr>
              <w:t>需具有：</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）响应</w:t>
            </w:r>
            <w:r>
              <w:rPr>
                <w:rFonts w:hint="eastAsia" w:ascii="宋体" w:hAnsi="宋体" w:eastAsia="宋体" w:cs="宋体"/>
                <w:sz w:val="24"/>
                <w:szCs w:val="24"/>
              </w:rPr>
              <w:t>方提供有效期内质量管理体系认证证书，得1分；</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）响应</w:t>
            </w:r>
            <w:r>
              <w:rPr>
                <w:rFonts w:hint="eastAsia" w:ascii="宋体" w:hAnsi="宋体" w:eastAsia="宋体" w:cs="宋体"/>
                <w:sz w:val="24"/>
                <w:szCs w:val="24"/>
              </w:rPr>
              <w:t>方提供有效期内信息安全管理体系认证证书，得1分；</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）响应</w:t>
            </w:r>
            <w:r>
              <w:rPr>
                <w:rFonts w:hint="eastAsia" w:ascii="宋体" w:hAnsi="宋体" w:eastAsia="宋体" w:cs="宋体"/>
                <w:sz w:val="24"/>
                <w:szCs w:val="24"/>
              </w:rPr>
              <w:t>方提供有效期内CMMI三级或以上证书，得1分；</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）响应</w:t>
            </w:r>
            <w:r>
              <w:rPr>
                <w:rFonts w:hint="eastAsia" w:ascii="宋体" w:hAnsi="宋体" w:eastAsia="宋体" w:cs="宋体"/>
                <w:sz w:val="24"/>
                <w:szCs w:val="24"/>
              </w:rPr>
              <w:t>方提供有效期内信息技术服务管理体系认证证书，得1分；</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提供资质证书复印件并加盖</w:t>
            </w:r>
            <w:r>
              <w:rPr>
                <w:rFonts w:hint="eastAsia" w:ascii="宋体" w:hAnsi="宋体" w:eastAsia="宋体" w:cs="宋体"/>
                <w:sz w:val="24"/>
                <w:szCs w:val="24"/>
                <w:lang w:eastAsia="zh-CN"/>
              </w:rPr>
              <w:t>响应</w:t>
            </w:r>
            <w:r>
              <w:rPr>
                <w:rFonts w:hint="eastAsia" w:ascii="宋体" w:hAnsi="宋体" w:eastAsia="宋体" w:cs="宋体"/>
                <w:sz w:val="24"/>
                <w:szCs w:val="24"/>
              </w:rPr>
              <w:t>方公章，不提供证明材料不得分。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8" w:type="dxa"/>
            <w:vMerge w:val="continue"/>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p>
        </w:tc>
        <w:tc>
          <w:tcPr>
            <w:tcW w:w="1404" w:type="dxa"/>
            <w:vMerge w:val="continue"/>
            <w:tcBorders>
              <w:tl2br w:val="nil"/>
              <w:tr2bl w:val="nil"/>
            </w:tcBorders>
            <w:vAlign w:val="center"/>
          </w:tcPr>
          <w:p>
            <w:pPr>
              <w:pageBreakBefore w:val="0"/>
              <w:kinsoku/>
              <w:wordWrap/>
              <w:topLinePunct w:val="0"/>
              <w:autoSpaceDE/>
              <w:autoSpaceDN/>
              <w:bidi w:val="0"/>
              <w:spacing w:line="360" w:lineRule="auto"/>
              <w:ind w:firstLine="0" w:firstLineChars="0"/>
              <w:jc w:val="center"/>
              <w:rPr>
                <w:rFonts w:hint="eastAsia" w:ascii="宋体" w:hAnsi="宋体" w:eastAsia="宋体" w:cs="宋体"/>
                <w:sz w:val="24"/>
                <w:szCs w:val="24"/>
              </w:rPr>
            </w:pPr>
          </w:p>
        </w:tc>
        <w:tc>
          <w:tcPr>
            <w:tcW w:w="701"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w:t>
            </w:r>
          </w:p>
        </w:tc>
        <w:tc>
          <w:tcPr>
            <w:tcW w:w="6143" w:type="dxa"/>
            <w:tcBorders>
              <w:tl2br w:val="nil"/>
              <w:tr2bl w:val="nil"/>
            </w:tcBorders>
            <w:vAlign w:val="center"/>
          </w:tcPr>
          <w:p>
            <w:pPr>
              <w:pageBreakBefore w:val="0"/>
              <w:kinsoku/>
              <w:wordWrap/>
              <w:topLinePunct w:val="0"/>
              <w:autoSpaceDE/>
              <w:autoSpaceDN/>
              <w:bidi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2021年1月1日</w:t>
            </w:r>
            <w:r>
              <w:rPr>
                <w:rFonts w:hint="eastAsia" w:ascii="宋体" w:hAnsi="宋体" w:eastAsia="宋体" w:cs="宋体"/>
                <w:color w:val="auto"/>
                <w:sz w:val="24"/>
                <w:szCs w:val="24"/>
                <w:lang w:eastAsia="zh-CN"/>
              </w:rPr>
              <w:t>以来</w:t>
            </w:r>
            <w:r>
              <w:rPr>
                <w:rFonts w:hint="eastAsia" w:ascii="宋体" w:hAnsi="宋体" w:eastAsia="宋体" w:cs="宋体"/>
                <w:color w:val="auto"/>
                <w:sz w:val="24"/>
                <w:szCs w:val="24"/>
              </w:rPr>
              <w:t>类似项目的经验和业绩。</w:t>
            </w:r>
          </w:p>
          <w:p>
            <w:pPr>
              <w:pageBreakBefore w:val="0"/>
              <w:kinsoku/>
              <w:wordWrap/>
              <w:topLinePunct w:val="0"/>
              <w:autoSpaceDE/>
              <w:autoSpaceDN/>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须提供对应合同复印件，每提供一个得2分，未提供的不得分，最高 12 分。</w:t>
            </w:r>
          </w:p>
        </w:tc>
      </w:tr>
    </w:tbl>
    <w:p>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评委依据磋商文件载明的方法评分，评分四舍五入精确到小数点后两位。</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响应供应商按照</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评分标准表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中的打分要求及顺序提供相关材料，</w:t>
      </w:r>
      <w:r>
        <w:rPr>
          <w:rFonts w:hint="eastAsia" w:ascii="Times New Roman" w:hAnsi="Times New Roman" w:eastAsia="宋体" w:cs="宋体"/>
          <w:bCs/>
          <w:color w:val="000000"/>
          <w:kern w:val="0"/>
          <w:sz w:val="24"/>
          <w:szCs w:val="24"/>
        </w:rPr>
        <w:t>并请编制目录及页码，以最大限度的避免造成评委误判或漏判。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bCs/>
          <w:color w:val="000000"/>
          <w:kern w:val="0"/>
          <w:sz w:val="24"/>
          <w:szCs w:val="24"/>
          <w:lang w:val="en-US" w:eastAsia="zh-CN"/>
        </w:rPr>
        <w:t>3</w:t>
      </w:r>
      <w:r>
        <w:rPr>
          <w:rFonts w:hint="eastAsia" w:ascii="Times New Roman" w:hAnsi="Times New Roman" w:eastAsia="宋体" w:cs="宋体"/>
          <w:bCs/>
          <w:color w:val="000000"/>
          <w:kern w:val="0"/>
          <w:sz w:val="24"/>
          <w:szCs w:val="24"/>
          <w:lang w:eastAsia="zh-CN"/>
        </w:rPr>
        <w:t>、</w:t>
      </w:r>
      <w:r>
        <w:rPr>
          <w:rFonts w:hint="eastAsia" w:ascii="Times New Roman" w:hAnsi="Times New Roman" w:eastAsia="宋体" w:cs="宋体"/>
          <w:b/>
          <w:sz w:val="24"/>
          <w:szCs w:val="24"/>
        </w:rPr>
        <w:t>以上证明材料提供原件复印件，复印件不清晰或关键内容无法辨识所引起的后果由响应供应商自行承担。</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w:t>
      </w:r>
      <w:r>
        <w:rPr>
          <w:rFonts w:hint="eastAsia" w:ascii="Times New Roman" w:hAnsi="Times New Roman" w:eastAsia="宋体" w:cs="宋体"/>
          <w:b/>
          <w:bCs/>
          <w:szCs w:val="24"/>
          <w:shd w:val="clear" w:color="auto" w:fill="FFFFFF"/>
          <w:lang w:val="zh-CN"/>
        </w:rPr>
        <w:t>价格分</w:t>
      </w:r>
      <w:r>
        <w:rPr>
          <w:rFonts w:hint="eastAsia" w:ascii="Times New Roman" w:hAnsi="Times New Roman" w:eastAsia="宋体" w:cs="宋体"/>
          <w:b/>
          <w:bCs/>
          <w:szCs w:val="24"/>
          <w:shd w:val="clear" w:color="auto" w:fill="FFFFFF"/>
        </w:rPr>
        <w:t>：</w:t>
      </w:r>
      <w:r>
        <w:rPr>
          <w:rFonts w:hint="eastAsia" w:ascii="Times New Roman" w:hAnsi="Times New Roman" w:cs="宋体"/>
          <w:b/>
          <w:bCs/>
          <w:szCs w:val="24"/>
          <w:shd w:val="clear" w:color="auto" w:fill="FFFFFF"/>
          <w:lang w:val="en-US" w:eastAsia="zh-CN"/>
        </w:rPr>
        <w:t>20</w:t>
      </w:r>
      <w:r>
        <w:rPr>
          <w:rFonts w:hint="eastAsia" w:ascii="Times New Roman" w:hAnsi="Times New Roman" w:eastAsia="宋体" w:cs="宋体"/>
          <w:b/>
          <w:bCs/>
          <w:szCs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20</w:t>
      </w:r>
      <w:r>
        <w:rPr>
          <w:rFonts w:hint="eastAsia" w:ascii="Times New Roman" w:hAnsi="Times New Roman" w:eastAsia="宋体" w:cs="宋体"/>
          <w:sz w:val="24"/>
          <w:szCs w:val="24"/>
        </w:rPr>
        <w:t>%×100。</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五、出现下列情形之一的，作无效标处理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rPr>
        <w:t>、不符合法律、法规和磋商文件中规定的其他实质性响应要求的；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10</w:t>
      </w:r>
      <w:r>
        <w:rPr>
          <w:rFonts w:hint="eastAsia" w:ascii="Times New Roman" w:hAnsi="Times New Roman" w:eastAsia="宋体" w:cs="宋体"/>
          <w:sz w:val="24"/>
          <w:szCs w:val="24"/>
        </w:rPr>
        <w:t>、磋商小组依据法律法规可以认定为无效投标的其他情况；</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11</w:t>
      </w:r>
      <w:r>
        <w:rPr>
          <w:rFonts w:hint="eastAsia" w:ascii="Times New Roman" w:hAnsi="Times New Roman" w:eastAsia="宋体" w:cs="宋体"/>
          <w:sz w:val="24"/>
          <w:szCs w:val="24"/>
        </w:rPr>
        <w:t>、未按要求提供样品的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六、出现下列情形之一的，作废标处理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七、成交通知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w w:val="80"/>
          <w:kern w:val="44"/>
          <w:sz w:val="48"/>
          <w:szCs w:val="4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pageBreakBefore w:val="0"/>
        <w:kinsoku/>
        <w:wordWrap/>
        <w:topLinePunct w:val="0"/>
        <w:autoSpaceDE/>
        <w:autoSpaceDN/>
        <w:bidi w:val="0"/>
        <w:spacing w:line="360" w:lineRule="auto"/>
        <w:rPr>
          <w:rFonts w:hint="eastAsia" w:ascii="Times New Roman" w:hAnsi="Times New Roman" w:eastAsia="宋体" w:cs="宋体"/>
          <w:w w:val="80"/>
          <w:sz w:val="48"/>
          <w:szCs w:val="44"/>
        </w:rPr>
      </w:pPr>
      <w:r>
        <w:rPr>
          <w:rFonts w:hint="eastAsia" w:ascii="Times New Roman" w:hAnsi="Times New Roman" w:eastAsia="宋体" w:cs="宋体"/>
          <w:w w:val="80"/>
          <w:sz w:val="48"/>
          <w:szCs w:val="4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eastAsia="zh-CN"/>
        </w:rPr>
        <w:t>后</w:t>
      </w:r>
      <w:r>
        <w:rPr>
          <w:rFonts w:hint="eastAsia" w:ascii="Times New Roman" w:hAnsi="Times New Roman" w:eastAsia="宋体" w:cs="宋体"/>
          <w:b w:val="0"/>
          <w:bCs w:val="0"/>
          <w:color w:val="auto"/>
          <w:kern w:val="0"/>
          <w:sz w:val="24"/>
          <w:lang w:val="en-US" w:eastAsia="zh-CN"/>
        </w:rPr>
        <w:t>15个工作日</w:t>
      </w:r>
      <w:r>
        <w:rPr>
          <w:rFonts w:hint="eastAsia" w:ascii="Times New Roman" w:hAnsi="Times New Roman" w:eastAsia="宋体" w:cs="宋体"/>
          <w:b w:val="0"/>
          <w:bCs w:val="0"/>
          <w:color w:val="auto"/>
          <w:kern w:val="0"/>
          <w:sz w:val="24"/>
        </w:rPr>
        <w:t>内</w:t>
      </w:r>
      <w:r>
        <w:rPr>
          <w:rFonts w:hint="eastAsia" w:ascii="Times New Roman" w:hAnsi="Times New Roman" w:eastAsia="宋体" w:cs="宋体"/>
          <w:b w:val="0"/>
          <w:bCs w:val="0"/>
          <w:kern w:val="0"/>
          <w:sz w:val="24"/>
        </w:rPr>
        <w:t>须按</w:t>
      </w:r>
      <w:r>
        <w:rPr>
          <w:rFonts w:hint="eastAsia" w:ascii="Times New Roman" w:hAnsi="Times New Roman" w:eastAsia="宋体" w:cs="宋体"/>
          <w:kern w:val="0"/>
          <w:sz w:val="24"/>
        </w:rPr>
        <w:t>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w:t>
      </w:r>
      <w:r>
        <w:rPr>
          <w:rFonts w:hint="eastAsia" w:ascii="Times New Roman" w:hAnsi="Times New Roman" w:eastAsia="宋体" w:cs="宋体"/>
          <w:sz w:val="24"/>
        </w:rPr>
        <w:t>采购单位按合同约定积极配合成交供应商履约，成交供应商履约到位后，请以书面形式向采购单位提出验收申请。</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keepNext w:val="0"/>
        <w:keepLines w:val="0"/>
        <w:pageBreakBefore w:val="0"/>
        <w:widowControl w:val="0"/>
        <w:kinsoku/>
        <w:wordWrap/>
        <w:topLinePunct w:val="0"/>
        <w:autoSpaceDE/>
        <w:autoSpaceDN/>
        <w:bidi w:val="0"/>
        <w:spacing w:line="360" w:lineRule="auto"/>
        <w:rPr>
          <w:rFonts w:ascii="Times New Roman" w:hAnsi="Times New Roman" w:eastAsia="宋体"/>
          <w:w w:val="80"/>
          <w:kern w:val="4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投标供应商须知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谁主张，谁举证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实事求是</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pageBreakBefore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w:t>
      </w:r>
      <w:r>
        <w:rPr>
          <w:rFonts w:hint="eastAsia" w:ascii="Times New Roman" w:hAnsi="Times New Roman"/>
          <w:sz w:val="24"/>
          <w:szCs w:val="24"/>
        </w:rPr>
        <w:t>供应商具有独立承担民事责任的能力，提供法人或者其他组织的营业执照等证明文件</w:t>
      </w:r>
      <w:r>
        <w:rPr>
          <w:rFonts w:hint="eastAsia" w:ascii="Times New Roman" w:hAnsi="Times New Roman" w:eastAsia="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的，必须提供法定代表人身份证明及法定代表人本人身份证两项复印件（须加盖单位公章）；非法定代表人参加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的，必须提供法定代表人签字或印章的授权委托书及被授权人本人身份证两项复印件；（须加盖单位公章）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pageBreakBefore w:val="0"/>
        <w:kinsoku/>
        <w:wordWrap/>
        <w:topLinePunct w:val="0"/>
        <w:autoSpaceDE/>
        <w:autoSpaceDN/>
        <w:bidi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4、供应商须提供诚信承诺书（</w:t>
      </w:r>
      <w:r>
        <w:rPr>
          <w:rFonts w:hint="eastAsia" w:ascii="Times New Roman" w:hAnsi="Times New Roman" w:cs="宋体"/>
          <w:sz w:val="24"/>
          <w:szCs w:val="24"/>
        </w:rPr>
        <w:t>格式参见附件）；</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sz w:val="24"/>
          <w:szCs w:val="24"/>
        </w:rPr>
        <w:t>5、</w:t>
      </w:r>
      <w:r>
        <w:rPr>
          <w:rFonts w:hint="eastAsia" w:ascii="Times New Roman" w:hAnsi="Times New Roman" w:eastAsia="宋体"/>
          <w:sz w:val="24"/>
          <w:szCs w:val="24"/>
        </w:rPr>
        <w:t>其它需要提交的资格审查证明材料。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bCs/>
          <w:sz w:val="24"/>
          <w:szCs w:val="24"/>
        </w:rPr>
        <w:t>1、</w:t>
      </w:r>
      <w:r>
        <w:rPr>
          <w:rFonts w:hint="eastAsia" w:ascii="Times New Roman" w:hAnsi="Times New Roman" w:eastAsia="宋体" w:cs="宋体"/>
          <w:sz w:val="24"/>
          <w:szCs w:val="24"/>
        </w:rPr>
        <w:t>磋商</w:t>
      </w:r>
      <w:r>
        <w:rPr>
          <w:rFonts w:ascii="Times New Roman" w:hAnsi="Times New Roman" w:eastAsia="宋体" w:cs="宋体"/>
          <w:sz w:val="24"/>
          <w:szCs w:val="24"/>
        </w:rPr>
        <w:t>响应函（格式参见第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2、供应商一般情况表</w:t>
      </w:r>
      <w:r>
        <w:rPr>
          <w:rFonts w:ascii="Times New Roman" w:hAnsi="Times New Roman" w:eastAsia="宋体" w:cs="宋体"/>
          <w:sz w:val="24"/>
          <w:szCs w:val="24"/>
        </w:rPr>
        <w:t>（格式参见第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技术</w:t>
      </w:r>
      <w:r>
        <w:rPr>
          <w:rFonts w:hint="eastAsia" w:ascii="Times New Roman" w:hAnsi="Times New Roman" w:eastAsia="宋体" w:cs="宋体"/>
          <w:bCs/>
          <w:sz w:val="24"/>
          <w:szCs w:val="24"/>
          <w:lang w:eastAsia="zh-CN"/>
        </w:rPr>
        <w:t>商务</w:t>
      </w:r>
      <w:r>
        <w:rPr>
          <w:rFonts w:hint="eastAsia" w:ascii="Times New Roman" w:hAnsi="Times New Roman" w:eastAsia="宋体" w:cs="宋体"/>
          <w:bCs/>
          <w:sz w:val="24"/>
          <w:szCs w:val="24"/>
        </w:rPr>
        <w:t>条款响应正负偏离表（</w:t>
      </w:r>
      <w:r>
        <w:rPr>
          <w:rFonts w:ascii="Times New Roman" w:hAnsi="Times New Roman" w:eastAsia="宋体" w:cs="宋体"/>
          <w:sz w:val="24"/>
          <w:szCs w:val="24"/>
        </w:rPr>
        <w:t>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r>
        <w:rPr>
          <w:rFonts w:hint="eastAsia" w:ascii="Times New Roman" w:hAnsi="Times New Roman" w:eastAsia="宋体" w:cs="宋体"/>
          <w:bCs/>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4、</w:t>
      </w:r>
      <w:r>
        <w:rPr>
          <w:rFonts w:hint="eastAsia" w:ascii="Times New Roman" w:hAnsi="Times New Roman" w:eastAsia="宋体" w:cs="宋体"/>
          <w:bCs/>
          <w:sz w:val="24"/>
          <w:szCs w:val="24"/>
        </w:rPr>
        <w:t>磋商文件中评分标准所涉及的事项需提供的所有资料；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5</w:t>
      </w:r>
      <w:r>
        <w:rPr>
          <w:rFonts w:hint="eastAsia" w:ascii="Times New Roman" w:hAnsi="Times New Roman" w:eastAsia="宋体" w:cs="宋体"/>
          <w:bCs/>
          <w:sz w:val="24"/>
          <w:szCs w:val="24"/>
        </w:rPr>
        <w:t>、磋商文件中未涉及的事项，</w:t>
      </w:r>
      <w:r>
        <w:rPr>
          <w:rFonts w:hint="eastAsia" w:ascii="Times New Roman" w:hAnsi="Times New Roman" w:eastAsia="宋体" w:cs="宋体"/>
          <w:bCs/>
          <w:sz w:val="24"/>
          <w:szCs w:val="24"/>
          <w:lang w:eastAsia="zh-CN"/>
        </w:rPr>
        <w:t>响应</w:t>
      </w:r>
      <w:r>
        <w:rPr>
          <w:rFonts w:hint="eastAsia" w:ascii="Times New Roman" w:hAnsi="Times New Roman" w:eastAsia="宋体" w:cs="宋体"/>
          <w:bCs/>
          <w:sz w:val="24"/>
          <w:szCs w:val="24"/>
        </w:rPr>
        <w:t>供应商认为需要提交的其他资料。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资格审查文件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技术响应文件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所须提供的材料按磋商文件要求装订，密封，递交。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1、磋商响应报价表（格式参见附件）；</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2、磋商响应报价明细表</w:t>
      </w:r>
      <w:r>
        <w:rPr>
          <w:rFonts w:hint="eastAsia" w:ascii="Times New Roman" w:hAnsi="Times New Roman" w:eastAsia="宋体" w:cs="宋体"/>
          <w:sz w:val="24"/>
          <w:szCs w:val="24"/>
        </w:rPr>
        <w:t>（格式参见附件）</w:t>
      </w:r>
      <w:r>
        <w:rPr>
          <w:rFonts w:hint="eastAsia" w:ascii="Times New Roman" w:hAnsi="Times New Roman" w:eastAsia="宋体" w:cs="宋体"/>
          <w:bCs/>
          <w:sz w:val="24"/>
          <w:szCs w:val="24"/>
          <w:lang w:val="en-US" w:eastAsia="zh-CN"/>
        </w:rPr>
        <w:t>；</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sz w:val="24"/>
          <w:szCs w:val="24"/>
        </w:rPr>
      </w:pPr>
      <w:r>
        <w:rPr>
          <w:rFonts w:hint="eastAsia" w:ascii="Times New Roman" w:hAnsi="Times New Roman" w:eastAsia="宋体" w:cs="宋体"/>
          <w:sz w:val="24"/>
          <w:szCs w:val="24"/>
        </w:rPr>
        <w:br w:type="page"/>
      </w:r>
    </w:p>
    <w:p>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南通市第三人民医院集成平台维保项目</w:t>
      </w:r>
      <w:r>
        <w:rPr>
          <w:rFonts w:hint="eastAsia" w:ascii="Times New Roman" w:hAnsi="Times New Roman" w:eastAsia="宋体" w:cs="宋体"/>
          <w:sz w:val="24"/>
          <w:szCs w:val="24"/>
        </w:rPr>
        <w:t>（竞争性磋商项目名称）项目的磋商活动，全权代表我公司处理该磋商活动的有关事宜。</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南通市第三人民医院集成平台维保项目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sz w:val="24"/>
          <w:szCs w:val="21"/>
          <w:u w:val="single"/>
        </w:rPr>
      </w:pP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认定为200万元以上的罚款，法律、行政法规以及国务院有关部门明确规定相关领域</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标准高于200万元的，从其规定。）</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0"/>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保证金、不良行为记录、限制其一定期限内投标资格等处罚。对造成的损失，任何法律和经济责任完全由我方负责。</w:t>
      </w:r>
    </w:p>
    <w:p>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sz w:val="28"/>
          <w:szCs w:val="28"/>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hint="eastAsia" w:ascii="Times New Roman" w:hAnsi="Times New Roman" w:eastAsia="宋体"/>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5</w:t>
      </w:r>
      <w:r>
        <w:rPr>
          <w:rFonts w:hint="eastAsia" w:ascii="Times New Roman" w:hAnsi="Times New Roman" w:eastAsia="宋体" w:cs="宋体"/>
          <w:b/>
          <w:bCs/>
          <w:sz w:val="24"/>
          <w:szCs w:val="24"/>
        </w:rPr>
        <w:t>、竞争性磋商响应函</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pageBreakBefore w:val="0"/>
        <w:kinsoku/>
        <w:wordWrap/>
        <w:topLinePunct w:val="0"/>
        <w:autoSpaceDE/>
        <w:autoSpaceDN/>
        <w:bidi w:val="0"/>
        <w:spacing w:line="360" w:lineRule="auto"/>
        <w:rPr>
          <w:rFonts w:hint="eastAsia" w:ascii="Times New Roman" w:hAnsi="Times New Roman" w:eastAsia="宋体"/>
          <w:b/>
          <w:sz w:val="24"/>
          <w:szCs w:val="24"/>
          <w:lang w:val="en-US" w:eastAsia="zh-CN"/>
        </w:rPr>
      </w:pPr>
    </w:p>
    <w:p>
      <w:pPr>
        <w:pageBreakBefore w:val="0"/>
        <w:kinsoku/>
        <w:wordWrap/>
        <w:topLinePunct w:val="0"/>
        <w:autoSpaceDE/>
        <w:autoSpaceDN/>
        <w:bidi w:val="0"/>
        <w:spacing w:line="360" w:lineRule="auto"/>
        <w:rPr>
          <w:rFonts w:hint="eastAsia" w:ascii="Times New Roman" w:hAnsi="Times New Roman" w:eastAsia="宋体"/>
          <w:b/>
          <w:sz w:val="24"/>
          <w:szCs w:val="24"/>
          <w:lang w:val="en-US" w:eastAsia="zh-CN"/>
        </w:rPr>
      </w:pPr>
      <w:r>
        <w:rPr>
          <w:rFonts w:hint="eastAsia" w:ascii="Times New Roman" w:hAnsi="Times New Roman" w:eastAsia="宋体"/>
          <w:b/>
          <w:sz w:val="24"/>
          <w:szCs w:val="24"/>
          <w:lang w:val="en-US" w:eastAsia="zh-CN"/>
        </w:rPr>
        <w:br w:type="page"/>
      </w:r>
    </w:p>
    <w:p>
      <w:pPr>
        <w:pageBreakBefore w:val="0"/>
        <w:kinsoku/>
        <w:wordWrap/>
        <w:topLinePunct w:val="0"/>
        <w:autoSpaceDE/>
        <w:autoSpaceDN/>
        <w:bidi w:val="0"/>
        <w:spacing w:line="360" w:lineRule="auto"/>
        <w:jc w:val="center"/>
        <w:rPr>
          <w:rFonts w:ascii="Times New Roman" w:hAnsi="Times New Roman" w:cs="宋体"/>
          <w:b/>
          <w:sz w:val="24"/>
          <w:szCs w:val="24"/>
        </w:rPr>
      </w:pPr>
      <w:r>
        <w:rPr>
          <w:rFonts w:hint="eastAsia" w:ascii="Times New Roman" w:hAnsi="Times New Roman"/>
          <w:b/>
          <w:sz w:val="24"/>
          <w:szCs w:val="24"/>
        </w:rPr>
        <w:t>6、</w:t>
      </w:r>
      <w:r>
        <w:rPr>
          <w:rFonts w:ascii="Times New Roman" w:hAnsi="Times New Roman"/>
          <w:b/>
          <w:bCs/>
          <w:sz w:val="24"/>
          <w:szCs w:val="24"/>
        </w:rPr>
        <w:t>供应商一般情况表</w:t>
      </w:r>
    </w:p>
    <w:tbl>
      <w:tblPr>
        <w:tblStyle w:val="26"/>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电话</w:t>
            </w:r>
          </w:p>
        </w:tc>
        <w:tc>
          <w:tcPr>
            <w:tcW w:w="2408" w:type="dxa"/>
            <w:gridSpan w:val="3"/>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联系人</w:t>
            </w:r>
          </w:p>
        </w:tc>
        <w:tc>
          <w:tcPr>
            <w:tcW w:w="2946" w:type="dxa"/>
            <w:gridSpan w:val="3"/>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传真</w:t>
            </w:r>
          </w:p>
        </w:tc>
        <w:tc>
          <w:tcPr>
            <w:tcW w:w="2408" w:type="dxa"/>
            <w:gridSpan w:val="3"/>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注册地</w:t>
            </w:r>
          </w:p>
        </w:tc>
        <w:tc>
          <w:tcPr>
            <w:tcW w:w="2408" w:type="dxa"/>
            <w:gridSpan w:val="3"/>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r>
              <w:rPr>
                <w:rFonts w:hint="eastAsia" w:ascii="Times New Roman" w:hAnsi="Times New Roman" w:cs="宋体"/>
                <w:sz w:val="24"/>
                <w:szCs w:val="24"/>
              </w:rPr>
              <w:t>公司具备的相关资质等级及相应的证书号</w:t>
            </w:r>
          </w:p>
          <w:p>
            <w:pPr>
              <w:pageBreakBefore w:val="0"/>
              <w:kinsoku/>
              <w:wordWrap/>
              <w:topLinePunct w:val="0"/>
              <w:autoSpaceDE/>
              <w:autoSpaceDN/>
              <w:bidi w:val="0"/>
              <w:spacing w:line="360" w:lineRule="auto"/>
              <w:rPr>
                <w:rFonts w:ascii="Times New Roman" w:hAnsi="Times New Roman" w:cs="宋体"/>
                <w:sz w:val="24"/>
                <w:szCs w:val="24"/>
              </w:rPr>
            </w:pPr>
            <w:r>
              <w:rPr>
                <w:rFonts w:hint="eastAsia" w:ascii="Times New Roman" w:hAnsi="Times New Roman" w:cs="宋体"/>
                <w:sz w:val="24"/>
                <w:szCs w:val="24"/>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r>
              <w:rPr>
                <w:rFonts w:hint="eastAsia" w:ascii="Times New Roman" w:hAnsi="Times New Roman" w:cs="宋体"/>
                <w:sz w:val="24"/>
                <w:szCs w:val="24"/>
              </w:rPr>
              <w:t>公司</w:t>
            </w:r>
            <w:r>
              <w:rPr>
                <w:rFonts w:hint="eastAsia" w:ascii="Times New Roman" w:hAnsi="Times New Roman" w:cs="宋体"/>
                <w:sz w:val="24"/>
                <w:szCs w:val="24"/>
                <w:u w:val="single"/>
              </w:rPr>
              <w:t xml:space="preserve">   （是否通过，何种）   </w:t>
            </w:r>
            <w:r>
              <w:rPr>
                <w:rFonts w:hint="eastAsia" w:ascii="Times New Roman" w:hAnsi="Times New Roman" w:cs="宋体"/>
                <w:sz w:val="24"/>
                <w:szCs w:val="24"/>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jc w:val="center"/>
              <w:rPr>
                <w:rFonts w:ascii="Times New Roman" w:hAnsi="Times New Roman" w:cs="宋体"/>
                <w:sz w:val="24"/>
                <w:szCs w:val="24"/>
              </w:rPr>
            </w:pPr>
          </w:p>
        </w:tc>
        <w:tc>
          <w:tcPr>
            <w:tcW w:w="1417" w:type="dxa"/>
            <w:gridSpan w:val="2"/>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年龄</w:t>
            </w:r>
          </w:p>
        </w:tc>
        <w:tc>
          <w:tcPr>
            <w:tcW w:w="1466" w:type="dxa"/>
            <w:gridSpan w:val="2"/>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jc w:val="center"/>
              <w:rPr>
                <w:rFonts w:ascii="Times New Roman" w:hAnsi="Times New Roman" w:cs="宋体"/>
                <w:sz w:val="24"/>
                <w:szCs w:val="24"/>
              </w:rPr>
            </w:pPr>
          </w:p>
        </w:tc>
        <w:tc>
          <w:tcPr>
            <w:tcW w:w="1320" w:type="dxa"/>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性别</w:t>
            </w:r>
          </w:p>
        </w:tc>
        <w:tc>
          <w:tcPr>
            <w:tcW w:w="1467" w:type="dxa"/>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jc w:val="center"/>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c>
          <w:tcPr>
            <w:tcW w:w="1466" w:type="dxa"/>
            <w:gridSpan w:val="2"/>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r>
              <w:rPr>
                <w:rFonts w:hint="eastAsia" w:ascii="Times New Roman" w:hAnsi="Times New Roman" w:cs="宋体"/>
                <w:sz w:val="24"/>
                <w:szCs w:val="24"/>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jc w:val="center"/>
              <w:rPr>
                <w:rFonts w:ascii="Times New Roman" w:hAnsi="Times New Roman" w:cs="宋体"/>
                <w:sz w:val="24"/>
                <w:szCs w:val="24"/>
              </w:rPr>
            </w:pPr>
            <w:r>
              <w:rPr>
                <w:rFonts w:hint="eastAsia" w:ascii="Times New Roman" w:hAnsi="Times New Roman" w:cs="宋体"/>
                <w:sz w:val="24"/>
                <w:szCs w:val="24"/>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r>
              <w:rPr>
                <w:rFonts w:hint="eastAsia" w:ascii="Times New Roman" w:hAnsi="Times New Roman" w:cs="宋体"/>
                <w:sz w:val="24"/>
                <w:szCs w:val="24"/>
              </w:rPr>
              <w:t>营业执照载明：</w:t>
            </w:r>
          </w:p>
          <w:p>
            <w:pPr>
              <w:pageBreakBefore w:val="0"/>
              <w:kinsoku/>
              <w:wordWrap/>
              <w:topLinePunct w:val="0"/>
              <w:autoSpaceDE/>
              <w:autoSpaceDN/>
              <w:bidi w:val="0"/>
              <w:spacing w:line="360" w:lineRule="auto"/>
              <w:rPr>
                <w:rFonts w:ascii="Times New Roman" w:hAnsi="Times New Roman" w:cs="宋体"/>
                <w:sz w:val="24"/>
                <w:szCs w:val="24"/>
                <w:u w:val="single"/>
              </w:rPr>
            </w:pPr>
            <w:r>
              <w:rPr>
                <w:rFonts w:hint="eastAsia" w:ascii="Times New Roman" w:hAnsi="Times New Roman" w:cs="宋体"/>
                <w:sz w:val="24"/>
                <w:szCs w:val="24"/>
              </w:rPr>
              <w:t>1.</w:t>
            </w:r>
          </w:p>
          <w:p>
            <w:pPr>
              <w:pageBreakBefore w:val="0"/>
              <w:kinsoku/>
              <w:wordWrap/>
              <w:topLinePunct w:val="0"/>
              <w:autoSpaceDE/>
              <w:autoSpaceDN/>
              <w:bidi w:val="0"/>
              <w:spacing w:line="360" w:lineRule="auto"/>
              <w:rPr>
                <w:rFonts w:ascii="Times New Roman" w:hAnsi="Times New Roman" w:cs="宋体"/>
                <w:sz w:val="24"/>
                <w:szCs w:val="24"/>
                <w:u w:val="single"/>
              </w:rPr>
            </w:pPr>
            <w:r>
              <w:rPr>
                <w:rFonts w:hint="eastAsia" w:ascii="Times New Roman" w:hAnsi="Times New Roman" w:cs="宋体"/>
                <w:sz w:val="24"/>
                <w:szCs w:val="24"/>
              </w:rPr>
              <w:t>2.</w:t>
            </w:r>
          </w:p>
          <w:p>
            <w:pPr>
              <w:pageBreakBefore w:val="0"/>
              <w:kinsoku/>
              <w:wordWrap/>
              <w:topLinePunct w:val="0"/>
              <w:autoSpaceDE/>
              <w:autoSpaceDN/>
              <w:bidi w:val="0"/>
              <w:spacing w:line="360" w:lineRule="auto"/>
              <w:rPr>
                <w:rFonts w:ascii="Times New Roman" w:hAnsi="Times New Roman" w:cs="宋体"/>
                <w:sz w:val="24"/>
                <w:szCs w:val="24"/>
              </w:rPr>
            </w:pPr>
            <w:r>
              <w:rPr>
                <w:rFonts w:hint="eastAsia" w:ascii="Times New Roman" w:hAnsi="Times New Roman" w:cs="宋体"/>
                <w:sz w:val="24"/>
                <w:szCs w:val="24"/>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rPr>
                <w:rFonts w:ascii="Times New Roman" w:hAnsi="Times New Roman" w:cs="宋体"/>
                <w:sz w:val="24"/>
                <w:szCs w:val="24"/>
              </w:rPr>
            </w:pPr>
            <w:r>
              <w:rPr>
                <w:rFonts w:hint="eastAsia" w:ascii="Times New Roman" w:hAnsi="Times New Roman" w:cs="宋体"/>
                <w:sz w:val="24"/>
                <w:szCs w:val="24"/>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rPr>
                <w:rFonts w:ascii="Times New Roman" w:hAnsi="Times New Roman" w:cs="宋体"/>
                <w:sz w:val="24"/>
                <w:szCs w:val="24"/>
              </w:rPr>
            </w:pPr>
            <w:r>
              <w:rPr>
                <w:rFonts w:hint="eastAsia" w:ascii="Times New Roman" w:hAnsi="Times New Roman" w:cs="宋体"/>
                <w:sz w:val="24"/>
                <w:szCs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pPr>
              <w:pageBreakBefore w:val="0"/>
              <w:kinsoku/>
              <w:wordWrap/>
              <w:topLinePunct w:val="0"/>
              <w:autoSpaceDE/>
              <w:autoSpaceDN/>
              <w:bidi w:val="0"/>
              <w:spacing w:line="360" w:lineRule="auto"/>
              <w:rPr>
                <w:rFonts w:ascii="Times New Roman" w:hAnsi="Times New Roman" w:cs="宋体"/>
                <w:sz w:val="24"/>
                <w:szCs w:val="24"/>
              </w:rPr>
            </w:pPr>
          </w:p>
        </w:tc>
      </w:tr>
    </w:tbl>
    <w:p>
      <w:pPr>
        <w:pageBreakBefore w:val="0"/>
        <w:kinsoku/>
        <w:wordWrap/>
        <w:topLinePunct w:val="0"/>
        <w:autoSpaceDE/>
        <w:autoSpaceDN/>
        <w:bidi w:val="0"/>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供应商：（加盖公章）</w:t>
      </w:r>
    </w:p>
    <w:p>
      <w:pPr>
        <w:pageBreakBefore w:val="0"/>
        <w:kinsoku/>
        <w:wordWrap/>
        <w:topLinePunct w:val="0"/>
        <w:autoSpaceDE/>
        <w:autoSpaceDN/>
        <w:bidi w:val="0"/>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法定代表人或被授权人：（签字或盖章）</w:t>
      </w:r>
    </w:p>
    <w:p>
      <w:pPr>
        <w:pageBreakBefore w:val="0"/>
        <w:kinsoku/>
        <w:wordWrap/>
        <w:topLinePunct w:val="0"/>
        <w:autoSpaceDE/>
        <w:autoSpaceDN/>
        <w:bidi w:val="0"/>
        <w:spacing w:line="360" w:lineRule="auto"/>
        <w:ind w:firstLine="1320" w:firstLineChars="550"/>
        <w:jc w:val="right"/>
        <w:rPr>
          <w:rFonts w:ascii="Times New Roman" w:hAnsi="Times New Roman" w:cs="宋体"/>
          <w:sz w:val="24"/>
          <w:szCs w:val="24"/>
        </w:rPr>
      </w:pPr>
      <w:r>
        <w:rPr>
          <w:rFonts w:hint="eastAsia" w:ascii="Times New Roman" w:hAnsi="Times New Roman" w:cs="宋体"/>
          <w:sz w:val="24"/>
          <w:szCs w:val="24"/>
        </w:rPr>
        <w:t>年      月     日</w:t>
      </w:r>
    </w:p>
    <w:p>
      <w:pPr>
        <w:pageBreakBefore w:val="0"/>
        <w:kinsoku/>
        <w:wordWrap/>
        <w:topLinePunct w:val="0"/>
        <w:autoSpaceDE/>
        <w:autoSpaceDN/>
        <w:bidi w:val="0"/>
        <w:spacing w:line="360" w:lineRule="auto"/>
        <w:rPr>
          <w:rFonts w:hint="eastAsia" w:ascii="Times New Roman" w:hAnsi="Times New Roman" w:eastAsia="宋体"/>
          <w:b/>
          <w:sz w:val="24"/>
          <w:szCs w:val="24"/>
          <w:lang w:val="en-US" w:eastAsia="zh-CN"/>
        </w:rPr>
      </w:pPr>
    </w:p>
    <w:p>
      <w:pPr>
        <w:pageBreakBefore w:val="0"/>
        <w:kinsoku/>
        <w:wordWrap/>
        <w:topLinePunct w:val="0"/>
        <w:autoSpaceDE/>
        <w:autoSpaceDN/>
        <w:bidi w:val="0"/>
        <w:spacing w:line="360" w:lineRule="auto"/>
        <w:rPr>
          <w:rFonts w:hint="eastAsia" w:ascii="Times New Roman" w:hAnsi="Times New Roman" w:eastAsia="宋体"/>
          <w:b/>
          <w:sz w:val="24"/>
          <w:szCs w:val="24"/>
          <w:lang w:val="en-US" w:eastAsia="zh-CN"/>
        </w:rPr>
      </w:pPr>
      <w:r>
        <w:rPr>
          <w:rFonts w:hint="eastAsia" w:ascii="Times New Roman" w:hAnsi="Times New Roman" w:eastAsia="宋体"/>
          <w:b/>
          <w:sz w:val="24"/>
          <w:szCs w:val="24"/>
          <w:lang w:val="en-US" w:eastAsia="zh-CN"/>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sz w:val="24"/>
          <w:szCs w:val="24"/>
        </w:rPr>
      </w:pPr>
      <w:r>
        <w:rPr>
          <w:rFonts w:hint="eastAsia" w:ascii="Times New Roman" w:hAnsi="Times New Roman" w:eastAsia="宋体"/>
          <w:b/>
          <w:sz w:val="24"/>
          <w:szCs w:val="24"/>
          <w:lang w:val="en-US" w:eastAsia="zh-CN"/>
        </w:rPr>
        <w:t>7</w:t>
      </w:r>
      <w:r>
        <w:rPr>
          <w:rFonts w:hint="eastAsia" w:ascii="Times New Roman" w:hAnsi="Times New Roman" w:eastAsia="宋体"/>
          <w:b/>
          <w:sz w:val="24"/>
          <w:szCs w:val="24"/>
        </w:rPr>
        <w:t>、技术</w:t>
      </w:r>
      <w:r>
        <w:rPr>
          <w:rFonts w:hint="eastAsia" w:ascii="Times New Roman" w:hAnsi="Times New Roman" w:eastAsia="宋体"/>
          <w:b/>
          <w:sz w:val="24"/>
          <w:szCs w:val="24"/>
          <w:lang w:eastAsia="zh-CN"/>
        </w:rPr>
        <w:t>商务</w:t>
      </w:r>
      <w:r>
        <w:rPr>
          <w:rFonts w:hint="eastAsia" w:ascii="Times New Roman" w:hAnsi="Times New Roman" w:eastAsia="宋体"/>
          <w:b/>
          <w:sz w:val="24"/>
          <w:szCs w:val="24"/>
        </w:rPr>
        <w:t>条款响应正负偏离表</w:t>
      </w:r>
    </w:p>
    <w:p>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57"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302"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bl>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项目需求说明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中的技术</w:t>
      </w:r>
      <w:r>
        <w:rPr>
          <w:rFonts w:hint="eastAsia" w:ascii="Times New Roman" w:hAnsi="Times New Roman" w:eastAsia="宋体" w:cs="宋体"/>
          <w:sz w:val="24"/>
          <w:szCs w:val="24"/>
          <w:lang w:eastAsia="zh-CN"/>
        </w:rPr>
        <w:t>及商务</w:t>
      </w:r>
      <w:r>
        <w:rPr>
          <w:rFonts w:ascii="Times New Roman" w:hAnsi="Times New Roman" w:eastAsia="宋体" w:cs="宋体"/>
          <w:sz w:val="24"/>
          <w:szCs w:val="24"/>
        </w:rPr>
        <w:t>部分的要求有不同时，应逐条填列在偏离表中，否则将认为响应人接受磋商文件的所有要求。完全响应部分不填。</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偏离说明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一栏选择</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正偏离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负偏离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进行填写。正偏离的确认和负偏离的是否相应磋商文件，经三分之二评委认定。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keepNext w:val="0"/>
        <w:keepLines w:val="0"/>
        <w:pageBreakBefore w:val="0"/>
        <w:widowControl w:val="0"/>
        <w:kinsoku/>
        <w:wordWrap/>
        <w:topLinePunct w:val="0"/>
        <w:autoSpaceDE/>
        <w:autoSpaceDN/>
        <w:bidi w:val="0"/>
        <w:spacing w:line="360" w:lineRule="auto"/>
        <w:rPr>
          <w:rFonts w:ascii="Times New Roman" w:hAnsi="Times New Roman" w:eastAsia="宋体" w:cs="仿宋"/>
          <w:sz w:val="28"/>
          <w:szCs w:val="28"/>
        </w:rPr>
      </w:pP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rPr>
          <w:rFonts w:ascii="Times New Roman" w:hAnsi="Times New Roman" w:eastAsia="宋体"/>
          <w:sz w:val="24"/>
          <w:szCs w:val="24"/>
        </w:rPr>
      </w:pPr>
      <w:r>
        <w:rPr>
          <w:rFonts w:ascii="Times New Roman" w:hAnsi="Times New Roman" w:eastAsia="宋体" w:cs="宋体"/>
          <w:b/>
          <w:bCs/>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8</w:t>
      </w:r>
      <w:r>
        <w:rPr>
          <w:rFonts w:hint="eastAsia" w:ascii="Times New Roman" w:hAnsi="Times New Roman" w:eastAsia="宋体" w:cs="宋体"/>
          <w:b/>
          <w:sz w:val="24"/>
          <w:szCs w:val="24"/>
        </w:rPr>
        <w:t>、磋商响应报价表</w:t>
      </w:r>
    </w:p>
    <w:p>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南通市第三人民医院集成平台维保项目</w:t>
      </w:r>
    </w:p>
    <w:tbl>
      <w:tblPr>
        <w:tblStyle w:val="26"/>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w:t>
            </w:r>
            <w:r>
              <w:rPr>
                <w:rFonts w:hint="eastAsia" w:ascii="Times New Roman" w:hAnsi="Times New Roman"/>
                <w:b/>
                <w:sz w:val="24"/>
                <w:szCs w:val="24"/>
              </w:rPr>
              <w:t>（元</w:t>
            </w:r>
            <w:r>
              <w:rPr>
                <w:rFonts w:hint="eastAsia" w:ascii="宋体" w:hAnsi="宋体" w:cs="宋体"/>
                <w:b/>
                <w:sz w:val="24"/>
                <w:szCs w:val="24"/>
              </w:rPr>
              <w:t>/</w:t>
            </w:r>
            <w:r>
              <w:rPr>
                <w:rFonts w:hint="eastAsia" w:ascii="Times New Roman" w:hAnsi="Times New Roman"/>
                <w:b/>
                <w:sz w:val="24"/>
                <w:szCs w:val="24"/>
              </w:rPr>
              <w:t>年）</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1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4"/>
                <w:szCs w:val="24"/>
                <w:lang w:eastAsia="zh-CN"/>
              </w:rPr>
              <w:t>南通市第三人民医院集成平台维保项目</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180" w:type="dxa"/>
            <w:vMerge w:val="continue"/>
            <w:tcBorders>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bl>
    <w:p>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0"/>
        </w:rPr>
      </w:pPr>
    </w:p>
    <w:p>
      <w:pPr>
        <w:pStyle w:val="13"/>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年月日</w:t>
      </w:r>
    </w:p>
    <w:p>
      <w:pPr>
        <w:pStyle w:val="13"/>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Times New Roman" w:hAnsi="Times New Roman" w:eastAsia="宋体"/>
          <w:bCs/>
          <w:sz w:val="24"/>
          <w:szCs w:val="24"/>
          <w:lang w:eastAsia="zh-CN"/>
        </w:rPr>
        <w:t>包含但不限于</w:t>
      </w:r>
      <w:r>
        <w:rPr>
          <w:rFonts w:hint="eastAsia" w:ascii="Times New Roman" w:hAnsi="Times New Roman" w:eastAsia="宋体"/>
          <w:bCs/>
          <w:sz w:val="24"/>
          <w:szCs w:val="24"/>
        </w:rPr>
        <w:t>服务的成本、利润、税金、开办费、政策性调整风险费等的所有费用；</w:t>
      </w:r>
      <w:r>
        <w:rPr>
          <w:rFonts w:hint="eastAsia" w:ascii="Times New Roman" w:hAnsi="Times New Roman" w:eastAsia="宋体" w:cs="宋体"/>
          <w:sz w:val="24"/>
          <w:szCs w:val="24"/>
        </w:rPr>
        <w:t>维保服务费、辅材费、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w:t>
      </w:r>
      <w:r>
        <w:rPr>
          <w:rFonts w:hint="eastAsia" w:ascii="Times New Roman" w:hAnsi="Times New Roman" w:eastAsia="宋体"/>
          <w:b/>
          <w:color w:val="000000" w:themeColor="text1"/>
          <w:sz w:val="24"/>
          <w:szCs w:val="24"/>
          <w:lang w:eastAsia="zh-CN"/>
          <w14:textFill>
            <w14:solidFill>
              <w14:schemeClr w14:val="tx1"/>
            </w14:solidFill>
          </w14:textFill>
        </w:rPr>
        <w:t>报价明细表</w:t>
      </w:r>
      <w:r>
        <w:rPr>
          <w:rFonts w:hint="eastAsia" w:ascii="Times New Roman" w:hAnsi="Times New Roman" w:eastAsia="宋体"/>
          <w:b/>
          <w:color w:val="000000" w:themeColor="text1"/>
          <w:sz w:val="24"/>
          <w:szCs w:val="24"/>
          <w14:textFill>
            <w14:solidFill>
              <w14:schemeClr w14:val="tx1"/>
            </w14:solidFill>
          </w14:textFill>
        </w:rPr>
        <w:t>总价金额应当与首次报价表金额相等，且第二次报价时，磋商响应报价明细表按同比例下浮。</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9、</w:t>
      </w: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r>
        <w:rPr>
          <w:rFonts w:hint="eastAsia" w:ascii="Times New Roman" w:hAnsi="Times New Roman" w:eastAsia="宋体"/>
          <w:sz w:val="24"/>
          <w:szCs w:val="24"/>
          <w:lang w:eastAsia="zh-CN"/>
        </w:rPr>
        <w:t>南通市第三人民医院集成平台维保项目</w:t>
      </w:r>
    </w:p>
    <w:p>
      <w:pPr>
        <w:widowControl/>
        <w:spacing w:line="360" w:lineRule="auto"/>
        <w:jc w:val="left"/>
        <w:rPr>
          <w:rFonts w:ascii="Times New Roman" w:hAnsi="Times New Roman" w:eastAsia="宋体"/>
        </w:rPr>
      </w:pPr>
    </w:p>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格式自拟</w:t>
      </w:r>
    </w:p>
    <w:p/>
    <w:p>
      <w:pPr>
        <w:pStyle w:val="10"/>
      </w:pP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13"/>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w:t>
      </w:r>
      <w:r>
        <w:rPr>
          <w:rFonts w:hint="eastAsia" w:ascii="Times New Roman" w:hAnsi="Times New Roman" w:eastAsia="宋体"/>
          <w:bCs/>
          <w:sz w:val="24"/>
          <w:szCs w:val="24"/>
          <w:lang w:eastAsia="zh-CN"/>
        </w:rPr>
        <w:t>包含但不限于</w:t>
      </w:r>
      <w:r>
        <w:rPr>
          <w:rFonts w:hint="eastAsia" w:ascii="Times New Roman" w:hAnsi="Times New Roman" w:eastAsia="宋体"/>
          <w:bCs/>
          <w:sz w:val="24"/>
          <w:szCs w:val="24"/>
        </w:rPr>
        <w:t>服务的成本、利润、税金、开办费、政策性调整风险费等的所有费用；</w:t>
      </w:r>
      <w:r>
        <w:rPr>
          <w:rFonts w:hint="eastAsia" w:ascii="Times New Roman" w:hAnsi="Times New Roman" w:eastAsia="宋体" w:cs="宋体"/>
          <w:sz w:val="24"/>
          <w:szCs w:val="24"/>
        </w:rPr>
        <w:t>维保服务费、辅材费、</w:t>
      </w:r>
      <w:r>
        <w:rPr>
          <w:rFonts w:hint="eastAsia" w:ascii="Times New Roman" w:hAnsi="Times New Roman" w:eastAsia="宋体"/>
          <w:bCs/>
          <w:sz w:val="24"/>
          <w:szCs w:val="24"/>
        </w:rPr>
        <w:t>人工费、检测费、管理费；国家税务部门规定的各项税金；相关伴随服务以及售后服务等一切费用。同时，报价也包含了合同履行过程中可能发生的一切风险。</w:t>
      </w:r>
    </w:p>
    <w:p>
      <w:pPr>
        <w:spacing w:line="360" w:lineRule="auto"/>
        <w:ind w:firstLine="482" w:firstLineChars="200"/>
        <w:rPr>
          <w:rFonts w:hint="eastAsia"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pageBreakBefore w:val="0"/>
        <w:kinsoku/>
        <w:wordWrap/>
        <w:topLinePunct w:val="0"/>
        <w:autoSpaceDE/>
        <w:autoSpaceDN/>
        <w:bidi w:val="0"/>
        <w:spacing w:line="360" w:lineRule="auto"/>
      </w:pPr>
    </w:p>
    <w:p>
      <w:pPr>
        <w:pageBreakBefore w:val="0"/>
        <w:kinsoku/>
        <w:wordWrap/>
        <w:topLinePunct w:val="0"/>
        <w:autoSpaceDE/>
        <w:autoSpaceDN/>
        <w:bidi w:val="0"/>
        <w:spacing w:line="360" w:lineRule="auto"/>
      </w:pPr>
    </w:p>
    <w:p>
      <w:pPr>
        <w:pageBreakBefore w:val="0"/>
        <w:kinsoku/>
        <w:wordWrap/>
        <w:topLinePunct w:val="0"/>
        <w:autoSpaceDE/>
        <w:autoSpaceDN/>
        <w:bidi w:val="0"/>
        <w:spacing w:line="360" w:lineRule="auto"/>
        <w:rPr>
          <w:rFonts w:hint="eastAsia"/>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CC80A"/>
    <w:multiLevelType w:val="singleLevel"/>
    <w:tmpl w:val="8FFCC80A"/>
    <w:lvl w:ilvl="0" w:tentative="0">
      <w:start w:val="1"/>
      <w:numFmt w:val="bullet"/>
      <w:lvlText w:val=""/>
      <w:lvlJc w:val="left"/>
      <w:pPr>
        <w:ind w:left="420" w:hanging="420"/>
      </w:pPr>
      <w:rPr>
        <w:rFonts w:hint="default" w:ascii="Wingdings" w:hAnsi="Wingdings"/>
      </w:rPr>
    </w:lvl>
  </w:abstractNum>
  <w:abstractNum w:abstractNumId="1">
    <w:nsid w:val="2D624848"/>
    <w:multiLevelType w:val="singleLevel"/>
    <w:tmpl w:val="2D624848"/>
    <w:lvl w:ilvl="0" w:tentative="0">
      <w:start w:val="1"/>
      <w:numFmt w:val="decimal"/>
      <w:suff w:val="nothing"/>
      <w:lvlText w:val="(%1)"/>
      <w:lvlJc w:val="left"/>
      <w:pPr>
        <w:ind w:firstLine="40"/>
      </w:pPr>
      <w:rPr>
        <w:rFonts w:hint="default"/>
      </w:rPr>
    </w:lvl>
  </w:abstractNum>
  <w:abstractNum w:abstractNumId="2">
    <w:nsid w:val="5BEE71A6"/>
    <w:multiLevelType w:val="singleLevel"/>
    <w:tmpl w:val="5BEE71A6"/>
    <w:lvl w:ilvl="0" w:tentative="0">
      <w:start w:val="1"/>
      <w:numFmt w:val="decimal"/>
      <w:suff w:val="nothing"/>
      <w:lvlText w:val="(%1)"/>
      <w:lvlJc w:val="left"/>
      <w:pPr>
        <w:ind w:firstLine="40"/>
      </w:pPr>
      <w:rPr>
        <w:rFonts w:hint="default"/>
      </w:rPr>
    </w:lvl>
  </w:abstractNum>
  <w:abstractNum w:abstractNumId="3">
    <w:nsid w:val="62C2AD2F"/>
    <w:multiLevelType w:val="singleLevel"/>
    <w:tmpl w:val="62C2AD2F"/>
    <w:lvl w:ilvl="0" w:tentative="0">
      <w:start w:val="1"/>
      <w:numFmt w:val="decimal"/>
      <w:lvlText w:val="（%1）"/>
      <w:lvlJc w:val="left"/>
      <w:pPr>
        <w:tabs>
          <w:tab w:val="left" w:pos="420"/>
        </w:tabs>
        <w:ind w:left="425" w:hanging="425"/>
      </w:pPr>
      <w:rPr>
        <w:rFonts w:hint="default"/>
      </w:rPr>
    </w:lvl>
  </w:abstractNum>
  <w:abstractNum w:abstractNumId="4">
    <w:nsid w:val="62C2AD65"/>
    <w:multiLevelType w:val="singleLevel"/>
    <w:tmpl w:val="62C2AD6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232372D"/>
    <w:rsid w:val="03A83A42"/>
    <w:rsid w:val="03E379A2"/>
    <w:rsid w:val="041E22FB"/>
    <w:rsid w:val="0475016D"/>
    <w:rsid w:val="074278CA"/>
    <w:rsid w:val="0A5D1C72"/>
    <w:rsid w:val="0A727010"/>
    <w:rsid w:val="0BE5207C"/>
    <w:rsid w:val="0C8251F2"/>
    <w:rsid w:val="0CD77836"/>
    <w:rsid w:val="0E6C4D9F"/>
    <w:rsid w:val="0F0A1B2C"/>
    <w:rsid w:val="10E548CC"/>
    <w:rsid w:val="10EF15A7"/>
    <w:rsid w:val="115B540E"/>
    <w:rsid w:val="133E3283"/>
    <w:rsid w:val="136415FC"/>
    <w:rsid w:val="139A7BF0"/>
    <w:rsid w:val="14EA7E81"/>
    <w:rsid w:val="151421A8"/>
    <w:rsid w:val="155F3D53"/>
    <w:rsid w:val="157C1E87"/>
    <w:rsid w:val="159468C1"/>
    <w:rsid w:val="15C2217E"/>
    <w:rsid w:val="15F6320B"/>
    <w:rsid w:val="16593DC0"/>
    <w:rsid w:val="17BF578A"/>
    <w:rsid w:val="18117D55"/>
    <w:rsid w:val="18263421"/>
    <w:rsid w:val="197565C6"/>
    <w:rsid w:val="1B4F155D"/>
    <w:rsid w:val="1C503906"/>
    <w:rsid w:val="1D871147"/>
    <w:rsid w:val="1E163551"/>
    <w:rsid w:val="1F0C4400"/>
    <w:rsid w:val="1F8E2FE8"/>
    <w:rsid w:val="203A77C4"/>
    <w:rsid w:val="21B43D41"/>
    <w:rsid w:val="21BB6657"/>
    <w:rsid w:val="224E366C"/>
    <w:rsid w:val="229D429B"/>
    <w:rsid w:val="22E71036"/>
    <w:rsid w:val="2335285B"/>
    <w:rsid w:val="252E676F"/>
    <w:rsid w:val="272A0E68"/>
    <w:rsid w:val="274D0351"/>
    <w:rsid w:val="27DE22E9"/>
    <w:rsid w:val="28885E11"/>
    <w:rsid w:val="29C97C61"/>
    <w:rsid w:val="2B9F25ED"/>
    <w:rsid w:val="2BD6675A"/>
    <w:rsid w:val="2C5A6960"/>
    <w:rsid w:val="2C6E5A4D"/>
    <w:rsid w:val="2CC8252C"/>
    <w:rsid w:val="2CCE28B7"/>
    <w:rsid w:val="2DD824AC"/>
    <w:rsid w:val="2E672C1C"/>
    <w:rsid w:val="2F837332"/>
    <w:rsid w:val="305C724F"/>
    <w:rsid w:val="30A401EF"/>
    <w:rsid w:val="322E658F"/>
    <w:rsid w:val="32347FCD"/>
    <w:rsid w:val="32593CE2"/>
    <w:rsid w:val="32D85BE7"/>
    <w:rsid w:val="3329796B"/>
    <w:rsid w:val="3363542A"/>
    <w:rsid w:val="34700A2F"/>
    <w:rsid w:val="35CB4299"/>
    <w:rsid w:val="36161DCC"/>
    <w:rsid w:val="366867C2"/>
    <w:rsid w:val="38594DC9"/>
    <w:rsid w:val="388D2136"/>
    <w:rsid w:val="396E11A3"/>
    <w:rsid w:val="3A3E6499"/>
    <w:rsid w:val="3AAB1168"/>
    <w:rsid w:val="3C2C44E9"/>
    <w:rsid w:val="3DA05553"/>
    <w:rsid w:val="3DEA6E32"/>
    <w:rsid w:val="3DF31169"/>
    <w:rsid w:val="3E246184"/>
    <w:rsid w:val="3EF274D2"/>
    <w:rsid w:val="3FBC10C9"/>
    <w:rsid w:val="401C35B7"/>
    <w:rsid w:val="40423602"/>
    <w:rsid w:val="42024E02"/>
    <w:rsid w:val="420764B5"/>
    <w:rsid w:val="425D1C65"/>
    <w:rsid w:val="42672AE3"/>
    <w:rsid w:val="440A15A0"/>
    <w:rsid w:val="448734FB"/>
    <w:rsid w:val="4561465A"/>
    <w:rsid w:val="46D16A35"/>
    <w:rsid w:val="47693BAF"/>
    <w:rsid w:val="482C45B3"/>
    <w:rsid w:val="486E3206"/>
    <w:rsid w:val="488E13A6"/>
    <w:rsid w:val="48FE0BAD"/>
    <w:rsid w:val="49727F94"/>
    <w:rsid w:val="49DC3654"/>
    <w:rsid w:val="4B840262"/>
    <w:rsid w:val="4BE75A2A"/>
    <w:rsid w:val="4C185468"/>
    <w:rsid w:val="4C510AF8"/>
    <w:rsid w:val="4E46218F"/>
    <w:rsid w:val="4EAD2ED9"/>
    <w:rsid w:val="4FC139BA"/>
    <w:rsid w:val="5035522F"/>
    <w:rsid w:val="53A23A14"/>
    <w:rsid w:val="542A6B2C"/>
    <w:rsid w:val="544F229E"/>
    <w:rsid w:val="55385BD7"/>
    <w:rsid w:val="56E5418D"/>
    <w:rsid w:val="584274DB"/>
    <w:rsid w:val="5A4C01FF"/>
    <w:rsid w:val="5A91106B"/>
    <w:rsid w:val="5B02520C"/>
    <w:rsid w:val="5BD838E7"/>
    <w:rsid w:val="5BD91F04"/>
    <w:rsid w:val="5C855626"/>
    <w:rsid w:val="60480F23"/>
    <w:rsid w:val="616D5404"/>
    <w:rsid w:val="61946007"/>
    <w:rsid w:val="633D4A8B"/>
    <w:rsid w:val="63C928F9"/>
    <w:rsid w:val="64191A38"/>
    <w:rsid w:val="64ED5461"/>
    <w:rsid w:val="64FB113D"/>
    <w:rsid w:val="658F2EA6"/>
    <w:rsid w:val="659772A6"/>
    <w:rsid w:val="6742329A"/>
    <w:rsid w:val="675F7512"/>
    <w:rsid w:val="68A31FFC"/>
    <w:rsid w:val="68A84122"/>
    <w:rsid w:val="68AD6BF3"/>
    <w:rsid w:val="696E2E35"/>
    <w:rsid w:val="6A721EA2"/>
    <w:rsid w:val="6C1132E7"/>
    <w:rsid w:val="6D600F61"/>
    <w:rsid w:val="6E9616EC"/>
    <w:rsid w:val="6F3A3EBA"/>
    <w:rsid w:val="700D0A38"/>
    <w:rsid w:val="707A560C"/>
    <w:rsid w:val="712D5BF6"/>
    <w:rsid w:val="71AD12AD"/>
    <w:rsid w:val="71EA5EF0"/>
    <w:rsid w:val="720C2DA1"/>
    <w:rsid w:val="72BF1288"/>
    <w:rsid w:val="73392B0C"/>
    <w:rsid w:val="75363ACC"/>
    <w:rsid w:val="762F76F3"/>
    <w:rsid w:val="76876CD5"/>
    <w:rsid w:val="76B22FC1"/>
    <w:rsid w:val="79173AC2"/>
    <w:rsid w:val="798C7570"/>
    <w:rsid w:val="7B0A1E99"/>
    <w:rsid w:val="7B85422E"/>
    <w:rsid w:val="7C1A2204"/>
    <w:rsid w:val="7C462374"/>
    <w:rsid w:val="7D5A2578"/>
    <w:rsid w:val="7DD54611"/>
    <w:rsid w:val="7E633C7C"/>
    <w:rsid w:val="7EF20647"/>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5"/>
    <w:link w:val="47"/>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6">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styleId="5">
    <w:name w:val="Normal Indent"/>
    <w:basedOn w:val="1"/>
    <w:link w:val="45"/>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48"/>
    <w:autoRedefine/>
    <w:semiHidden/>
    <w:unhideWhenUsed/>
    <w:qFormat/>
    <w:uiPriority w:val="99"/>
    <w:rPr>
      <w:rFonts w:ascii="宋体" w:eastAsia="宋体"/>
      <w:sz w:val="18"/>
      <w:szCs w:val="18"/>
    </w:rPr>
  </w:style>
  <w:style w:type="paragraph" w:styleId="8">
    <w:name w:val="toa heading"/>
    <w:basedOn w:val="1"/>
    <w:next w:val="1"/>
    <w:autoRedefine/>
    <w:qFormat/>
    <w:uiPriority w:val="0"/>
    <w:rPr>
      <w:rFonts w:ascii="Arial" w:hAnsi="Arial" w:eastAsia="宋体" w:cs="Times New Roman"/>
      <w:sz w:val="24"/>
      <w:szCs w:val="21"/>
    </w:rPr>
  </w:style>
  <w:style w:type="paragraph" w:styleId="9">
    <w:name w:val="annotation text"/>
    <w:basedOn w:val="1"/>
    <w:link w:val="51"/>
    <w:autoRedefine/>
    <w:semiHidden/>
    <w:unhideWhenUsed/>
    <w:qFormat/>
    <w:uiPriority w:val="99"/>
    <w:pPr>
      <w:jc w:val="left"/>
    </w:pPr>
  </w:style>
  <w:style w:type="paragraph" w:styleId="10">
    <w:name w:val="Body Text"/>
    <w:basedOn w:val="1"/>
    <w:autoRedefine/>
    <w:qFormat/>
    <w:uiPriority w:val="0"/>
    <w:rPr>
      <w:rFonts w:ascii="楷体_GB2312" w:hAnsi="Arial" w:eastAsia="楷体_GB2312"/>
      <w:sz w:val="28"/>
      <w:szCs w:val="28"/>
    </w:rPr>
  </w:style>
  <w:style w:type="paragraph" w:styleId="11">
    <w:name w:val="Body Text Indent"/>
    <w:basedOn w:val="1"/>
    <w:next w:val="12"/>
    <w:autoRedefine/>
    <w:semiHidden/>
    <w:unhideWhenUsed/>
    <w:qFormat/>
    <w:uiPriority w:val="99"/>
    <w:pPr>
      <w:spacing w:after="120"/>
      <w:ind w:left="420" w:leftChars="200"/>
    </w:pPr>
  </w:style>
  <w:style w:type="paragraph" w:styleId="12">
    <w:name w:val="envelope return"/>
    <w:basedOn w:val="1"/>
    <w:autoRedefine/>
    <w:unhideWhenUsed/>
    <w:qFormat/>
    <w:uiPriority w:val="99"/>
    <w:pPr>
      <w:snapToGrid w:val="0"/>
    </w:pPr>
    <w:rPr>
      <w:rFonts w:ascii="Arial" w:hAnsi="Arial" w:eastAsia="楷体_GB2312" w:cs="Times New Roman"/>
      <w:sz w:val="26"/>
      <w:szCs w:val="20"/>
    </w:rPr>
  </w:style>
  <w:style w:type="paragraph" w:styleId="13">
    <w:name w:val="index 4"/>
    <w:basedOn w:val="1"/>
    <w:next w:val="1"/>
    <w:autoRedefine/>
    <w:qFormat/>
    <w:uiPriority w:val="0"/>
    <w:pPr>
      <w:ind w:left="1260"/>
    </w:pPr>
    <w:rPr>
      <w:rFonts w:ascii="Calibri" w:hAnsi="Calibri" w:eastAsia="宋体" w:cs="Times New Roman"/>
      <w:szCs w:val="20"/>
    </w:rPr>
  </w:style>
  <w:style w:type="paragraph" w:styleId="14">
    <w:name w:val="toc 3"/>
    <w:basedOn w:val="1"/>
    <w:next w:val="1"/>
    <w:autoRedefine/>
    <w:qFormat/>
    <w:uiPriority w:val="0"/>
    <w:pPr>
      <w:ind w:left="840" w:leftChars="400"/>
    </w:pPr>
    <w:rPr>
      <w:rFonts w:ascii="Calibri" w:hAnsi="Calibri" w:eastAsia="宋体" w:cs="Times New Roman"/>
      <w:szCs w:val="20"/>
    </w:rPr>
  </w:style>
  <w:style w:type="paragraph" w:styleId="15">
    <w:name w:val="Plain Text"/>
    <w:basedOn w:val="1"/>
    <w:link w:val="57"/>
    <w:autoRedefine/>
    <w:qFormat/>
    <w:uiPriority w:val="99"/>
    <w:rPr>
      <w:rFonts w:ascii="宋体" w:hAnsi="Courier New" w:eastAsia="宋体" w:cs="Times New Roman"/>
      <w:szCs w:val="20"/>
    </w:rPr>
  </w:style>
  <w:style w:type="paragraph" w:styleId="16">
    <w:name w:val="Balloon Text"/>
    <w:basedOn w:val="1"/>
    <w:link w:val="50"/>
    <w:autoRedefine/>
    <w:semiHidden/>
    <w:unhideWhenUsed/>
    <w:qFormat/>
    <w:uiPriority w:val="99"/>
    <w:rPr>
      <w:sz w:val="18"/>
      <w:szCs w:val="18"/>
    </w:rPr>
  </w:style>
  <w:style w:type="paragraph" w:styleId="17">
    <w:name w:val="footer"/>
    <w:basedOn w:val="1"/>
    <w:link w:val="44"/>
    <w:autoRedefine/>
    <w:unhideWhenUsed/>
    <w:qFormat/>
    <w:uiPriority w:val="99"/>
    <w:pPr>
      <w:tabs>
        <w:tab w:val="center" w:pos="4153"/>
        <w:tab w:val="right" w:pos="8306"/>
      </w:tabs>
      <w:snapToGrid w:val="0"/>
      <w:jc w:val="left"/>
    </w:pPr>
    <w:rPr>
      <w:sz w:val="18"/>
      <w:szCs w:val="18"/>
    </w:rPr>
  </w:style>
  <w:style w:type="paragraph" w:styleId="18">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20">
    <w:name w:val="index 9"/>
    <w:basedOn w:val="1"/>
    <w:next w:val="1"/>
    <w:autoRedefine/>
    <w:qFormat/>
    <w:uiPriority w:val="0"/>
    <w:pPr>
      <w:ind w:left="3360"/>
      <w:jc w:val="left"/>
    </w:pPr>
    <w:rPr>
      <w:szCs w:val="20"/>
    </w:rPr>
  </w:style>
  <w:style w:type="paragraph" w:styleId="21">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2">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3">
    <w:name w:val="annotation subject"/>
    <w:basedOn w:val="9"/>
    <w:next w:val="9"/>
    <w:link w:val="52"/>
    <w:autoRedefine/>
    <w:semiHidden/>
    <w:unhideWhenUsed/>
    <w:qFormat/>
    <w:uiPriority w:val="99"/>
    <w:rPr>
      <w:b/>
      <w:bCs/>
    </w:rPr>
  </w:style>
  <w:style w:type="paragraph" w:styleId="24">
    <w:name w:val="Body Text First Indent"/>
    <w:basedOn w:val="1"/>
    <w:next w:val="1"/>
    <w:autoRedefine/>
    <w:unhideWhenUsed/>
    <w:qFormat/>
    <w:uiPriority w:val="99"/>
    <w:pPr>
      <w:ind w:firstLine="420" w:firstLineChars="100"/>
    </w:pPr>
  </w:style>
  <w:style w:type="paragraph" w:styleId="25">
    <w:name w:val="Body Text First Indent 2"/>
    <w:basedOn w:val="11"/>
    <w:autoRedefine/>
    <w:unhideWhenUsed/>
    <w:qFormat/>
    <w:uiPriority w:val="99"/>
    <w:pPr>
      <w:ind w:firstLine="420" w:firstLineChars="200"/>
    </w:p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autoRedefine/>
    <w:semiHidden/>
    <w:unhideWhenUsed/>
    <w:qFormat/>
    <w:uiPriority w:val="99"/>
    <w:rPr>
      <w:color w:val="800080"/>
      <w:u w:val="none"/>
    </w:rPr>
  </w:style>
  <w:style w:type="character" w:styleId="30">
    <w:name w:val="HTML Definition"/>
    <w:basedOn w:val="28"/>
    <w:autoRedefine/>
    <w:semiHidden/>
    <w:unhideWhenUsed/>
    <w:qFormat/>
    <w:uiPriority w:val="99"/>
  </w:style>
  <w:style w:type="character" w:styleId="31">
    <w:name w:val="HTML Typewriter"/>
    <w:basedOn w:val="28"/>
    <w:autoRedefine/>
    <w:semiHidden/>
    <w:unhideWhenUsed/>
    <w:qFormat/>
    <w:uiPriority w:val="99"/>
    <w:rPr>
      <w:rFonts w:ascii="monospace" w:hAnsi="monospace" w:eastAsia="monospace" w:cs="monospace"/>
      <w:sz w:val="20"/>
    </w:rPr>
  </w:style>
  <w:style w:type="character" w:styleId="32">
    <w:name w:val="HTML Acronym"/>
    <w:basedOn w:val="28"/>
    <w:autoRedefine/>
    <w:semiHidden/>
    <w:unhideWhenUsed/>
    <w:qFormat/>
    <w:uiPriority w:val="99"/>
  </w:style>
  <w:style w:type="character" w:styleId="33">
    <w:name w:val="HTML Variable"/>
    <w:basedOn w:val="28"/>
    <w:autoRedefine/>
    <w:semiHidden/>
    <w:unhideWhenUsed/>
    <w:qFormat/>
    <w:uiPriority w:val="99"/>
  </w:style>
  <w:style w:type="character" w:styleId="34">
    <w:name w:val="Hyperlink"/>
    <w:basedOn w:val="28"/>
    <w:autoRedefine/>
    <w:unhideWhenUsed/>
    <w:qFormat/>
    <w:uiPriority w:val="99"/>
    <w:rPr>
      <w:color w:val="0000FF" w:themeColor="hyperlink"/>
      <w:u w:val="single"/>
      <w14:textFill>
        <w14:solidFill>
          <w14:schemeClr w14:val="hlink"/>
        </w14:solidFill>
      </w14:textFill>
    </w:rPr>
  </w:style>
  <w:style w:type="character" w:styleId="35">
    <w:name w:val="HTML Code"/>
    <w:basedOn w:val="28"/>
    <w:autoRedefine/>
    <w:semiHidden/>
    <w:unhideWhenUsed/>
    <w:qFormat/>
    <w:uiPriority w:val="99"/>
    <w:rPr>
      <w:rFonts w:hint="default" w:ascii="monospace" w:hAnsi="monospace" w:eastAsia="monospace" w:cs="monospace"/>
      <w:sz w:val="20"/>
    </w:rPr>
  </w:style>
  <w:style w:type="character" w:styleId="36">
    <w:name w:val="annotation reference"/>
    <w:basedOn w:val="28"/>
    <w:autoRedefine/>
    <w:semiHidden/>
    <w:unhideWhenUsed/>
    <w:qFormat/>
    <w:uiPriority w:val="99"/>
    <w:rPr>
      <w:sz w:val="21"/>
      <w:szCs w:val="21"/>
    </w:rPr>
  </w:style>
  <w:style w:type="character" w:styleId="37">
    <w:name w:val="HTML Cite"/>
    <w:basedOn w:val="28"/>
    <w:autoRedefine/>
    <w:semiHidden/>
    <w:unhideWhenUsed/>
    <w:qFormat/>
    <w:uiPriority w:val="99"/>
  </w:style>
  <w:style w:type="character" w:styleId="38">
    <w:name w:val="HTML Keyboard"/>
    <w:basedOn w:val="28"/>
    <w:autoRedefine/>
    <w:semiHidden/>
    <w:unhideWhenUsed/>
    <w:qFormat/>
    <w:uiPriority w:val="99"/>
    <w:rPr>
      <w:rFonts w:hint="default" w:ascii="monospace" w:hAnsi="monospace" w:eastAsia="monospace" w:cs="monospace"/>
      <w:sz w:val="20"/>
    </w:rPr>
  </w:style>
  <w:style w:type="character" w:styleId="39">
    <w:name w:val="HTML Sample"/>
    <w:basedOn w:val="28"/>
    <w:autoRedefine/>
    <w:semiHidden/>
    <w:unhideWhenUsed/>
    <w:qFormat/>
    <w:uiPriority w:val="99"/>
    <w:rPr>
      <w:rFonts w:hint="default" w:ascii="monospace" w:hAnsi="monospace" w:eastAsia="monospace" w:cs="monospace"/>
    </w:rPr>
  </w:style>
  <w:style w:type="paragraph" w:customStyle="1" w:styleId="40">
    <w:name w:val="正文首行缩进 21"/>
    <w:basedOn w:val="41"/>
    <w:next w:val="1"/>
    <w:autoRedefine/>
    <w:unhideWhenUsed/>
    <w:qFormat/>
    <w:uiPriority w:val="0"/>
    <w:pPr>
      <w:ind w:firstLine="420"/>
    </w:pPr>
    <w:rPr>
      <w:lang w:val="en-US" w:eastAsia="en-US"/>
    </w:rPr>
  </w:style>
  <w:style w:type="paragraph" w:customStyle="1" w:styleId="41">
    <w:name w:val="正文文本缩进1"/>
    <w:basedOn w:val="1"/>
    <w:next w:val="42"/>
    <w:autoRedefine/>
    <w:unhideWhenUsed/>
    <w:qFormat/>
    <w:uiPriority w:val="0"/>
    <w:pPr>
      <w:spacing w:after="120"/>
      <w:ind w:left="420"/>
    </w:pPr>
    <w:rPr>
      <w:rFonts w:ascii="Times New Roman" w:hAnsi="Times New Roman"/>
      <w:lang w:val="en-US" w:eastAsia="en-US"/>
    </w:rPr>
  </w:style>
  <w:style w:type="paragraph" w:customStyle="1" w:styleId="42">
    <w:name w:val="寄信人地址1"/>
    <w:basedOn w:val="1"/>
    <w:autoRedefine/>
    <w:unhideWhenUsed/>
    <w:qFormat/>
    <w:uiPriority w:val="99"/>
    <w:rPr>
      <w:rFonts w:ascii="Arial" w:hAnsi="Arial" w:eastAsia="楷体_GB2312" w:cs="Times New Roman"/>
      <w:sz w:val="26"/>
      <w:szCs w:val="20"/>
    </w:rPr>
  </w:style>
  <w:style w:type="character" w:customStyle="1" w:styleId="43">
    <w:name w:val="页眉 Char"/>
    <w:basedOn w:val="28"/>
    <w:link w:val="18"/>
    <w:autoRedefine/>
    <w:qFormat/>
    <w:uiPriority w:val="99"/>
    <w:rPr>
      <w:sz w:val="18"/>
      <w:szCs w:val="18"/>
    </w:rPr>
  </w:style>
  <w:style w:type="character" w:customStyle="1" w:styleId="44">
    <w:name w:val="页脚 Char"/>
    <w:basedOn w:val="28"/>
    <w:link w:val="17"/>
    <w:autoRedefine/>
    <w:qFormat/>
    <w:uiPriority w:val="99"/>
    <w:rPr>
      <w:sz w:val="18"/>
      <w:szCs w:val="18"/>
    </w:rPr>
  </w:style>
  <w:style w:type="character" w:customStyle="1" w:styleId="45">
    <w:name w:val="正文缩进 Char"/>
    <w:link w:val="5"/>
    <w:autoRedefine/>
    <w:qFormat/>
    <w:uiPriority w:val="0"/>
    <w:rPr>
      <w:rFonts w:ascii="Calibri" w:hAnsi="Calibri" w:eastAsia="楷体_GB2312" w:cs="Times New Roman"/>
      <w:kern w:val="0"/>
      <w:sz w:val="24"/>
      <w:szCs w:val="20"/>
    </w:rPr>
  </w:style>
  <w:style w:type="character" w:customStyle="1" w:styleId="46">
    <w:name w:val="标题 1 Char"/>
    <w:basedOn w:val="28"/>
    <w:link w:val="3"/>
    <w:autoRedefine/>
    <w:qFormat/>
    <w:uiPriority w:val="0"/>
    <w:rPr>
      <w:rFonts w:ascii="Calibri" w:hAnsi="Calibri" w:eastAsia="楷体_GB2312" w:cs="Times New Roman"/>
      <w:b/>
      <w:kern w:val="44"/>
      <w:sz w:val="44"/>
      <w:szCs w:val="20"/>
    </w:rPr>
  </w:style>
  <w:style w:type="character" w:customStyle="1" w:styleId="47">
    <w:name w:val="标题 2 Char"/>
    <w:basedOn w:val="28"/>
    <w:link w:val="4"/>
    <w:autoRedefine/>
    <w:qFormat/>
    <w:uiPriority w:val="9"/>
    <w:rPr>
      <w:rFonts w:asciiTheme="majorHAnsi" w:hAnsiTheme="majorHAnsi" w:eastAsiaTheme="majorEastAsia" w:cstheme="majorBidi"/>
      <w:b/>
      <w:bCs/>
      <w:sz w:val="32"/>
      <w:szCs w:val="32"/>
    </w:rPr>
  </w:style>
  <w:style w:type="character" w:customStyle="1" w:styleId="48">
    <w:name w:val="文档结构图 Char"/>
    <w:basedOn w:val="28"/>
    <w:link w:val="7"/>
    <w:autoRedefine/>
    <w:semiHidden/>
    <w:qFormat/>
    <w:uiPriority w:val="99"/>
    <w:rPr>
      <w:rFonts w:ascii="宋体" w:eastAsia="宋体"/>
      <w:sz w:val="18"/>
      <w:szCs w:val="18"/>
    </w:rPr>
  </w:style>
  <w:style w:type="character" w:customStyle="1" w:styleId="49">
    <w:name w:val="NormalCharacter"/>
    <w:autoRedefine/>
    <w:qFormat/>
    <w:uiPriority w:val="0"/>
    <w:rPr>
      <w:rFonts w:ascii="Times New Roman" w:hAnsi="Times New Roman" w:eastAsia="宋体" w:cs="Times New Roman"/>
    </w:rPr>
  </w:style>
  <w:style w:type="character" w:customStyle="1" w:styleId="50">
    <w:name w:val="批注框文本 Char"/>
    <w:basedOn w:val="28"/>
    <w:link w:val="16"/>
    <w:autoRedefine/>
    <w:semiHidden/>
    <w:qFormat/>
    <w:uiPriority w:val="99"/>
    <w:rPr>
      <w:kern w:val="2"/>
      <w:sz w:val="18"/>
      <w:szCs w:val="18"/>
    </w:rPr>
  </w:style>
  <w:style w:type="character" w:customStyle="1" w:styleId="51">
    <w:name w:val="批注文字 Char"/>
    <w:basedOn w:val="28"/>
    <w:link w:val="9"/>
    <w:autoRedefine/>
    <w:semiHidden/>
    <w:qFormat/>
    <w:uiPriority w:val="99"/>
    <w:rPr>
      <w:kern w:val="2"/>
      <w:sz w:val="21"/>
      <w:szCs w:val="22"/>
    </w:rPr>
  </w:style>
  <w:style w:type="character" w:customStyle="1" w:styleId="52">
    <w:name w:val="批注主题 Char"/>
    <w:basedOn w:val="51"/>
    <w:link w:val="23"/>
    <w:autoRedefine/>
    <w:semiHidden/>
    <w:qFormat/>
    <w:uiPriority w:val="99"/>
    <w:rPr>
      <w:b/>
      <w:bCs/>
      <w:kern w:val="2"/>
      <w:sz w:val="21"/>
      <w:szCs w:val="22"/>
    </w:rPr>
  </w:style>
  <w:style w:type="character" w:customStyle="1" w:styleId="53">
    <w:name w:val="普通正文 Char"/>
    <w:link w:val="54"/>
    <w:autoRedefine/>
    <w:qFormat/>
    <w:uiPriority w:val="0"/>
    <w:rPr>
      <w:rFonts w:ascii="Arial" w:hAnsi="Arial"/>
      <w:sz w:val="24"/>
      <w:szCs w:val="24"/>
    </w:rPr>
  </w:style>
  <w:style w:type="paragraph" w:customStyle="1" w:styleId="54">
    <w:name w:val="普通正文"/>
    <w:basedOn w:val="1"/>
    <w:link w:val="53"/>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5">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56">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57">
    <w:name w:val="纯文本 Char"/>
    <w:basedOn w:val="28"/>
    <w:link w:val="15"/>
    <w:autoRedefine/>
    <w:qFormat/>
    <w:locked/>
    <w:uiPriority w:val="0"/>
    <w:rPr>
      <w:rFonts w:ascii="宋体" w:hAnsi="Courier New" w:eastAsia="宋体" w:cs="Times New Roman"/>
      <w:kern w:val="2"/>
      <w:sz w:val="21"/>
    </w:rPr>
  </w:style>
  <w:style w:type="paragraph" w:styleId="58">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59">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0">
    <w:name w:val="列出段落2"/>
    <w:basedOn w:val="1"/>
    <w:autoRedefine/>
    <w:qFormat/>
    <w:uiPriority w:val="99"/>
    <w:pPr>
      <w:ind w:firstLine="420" w:firstLineChars="200"/>
    </w:pPr>
    <w:rPr>
      <w:rFonts w:ascii="Times New Roman" w:hAnsi="Times New Roman"/>
      <w:szCs w:val="24"/>
    </w:rPr>
  </w:style>
  <w:style w:type="character" w:customStyle="1" w:styleId="61">
    <w:name w:val="样式 小四 加粗"/>
    <w:basedOn w:val="28"/>
    <w:autoRedefine/>
    <w:qFormat/>
    <w:uiPriority w:val="0"/>
    <w:rPr>
      <w:rFonts w:eastAsia="黑体"/>
      <w:b/>
      <w:bCs/>
      <w:sz w:val="24"/>
    </w:rPr>
  </w:style>
  <w:style w:type="character" w:customStyle="1" w:styleId="62">
    <w:name w:val="first-child"/>
    <w:basedOn w:val="28"/>
    <w:autoRedefine/>
    <w:qFormat/>
    <w:uiPriority w:val="0"/>
  </w:style>
  <w:style w:type="character" w:customStyle="1" w:styleId="63">
    <w:name w:val="hover3"/>
    <w:basedOn w:val="28"/>
    <w:autoRedefine/>
    <w:qFormat/>
    <w:uiPriority w:val="0"/>
    <w:rPr>
      <w:color w:val="5FB878"/>
    </w:rPr>
  </w:style>
  <w:style w:type="character" w:customStyle="1" w:styleId="64">
    <w:name w:val="hover4"/>
    <w:basedOn w:val="28"/>
    <w:autoRedefine/>
    <w:qFormat/>
    <w:uiPriority w:val="0"/>
    <w:rPr>
      <w:color w:val="5FB878"/>
    </w:rPr>
  </w:style>
  <w:style w:type="character" w:customStyle="1" w:styleId="65">
    <w:name w:val="hover5"/>
    <w:basedOn w:val="28"/>
    <w:autoRedefine/>
    <w:qFormat/>
    <w:uiPriority w:val="0"/>
    <w:rPr>
      <w:color w:val="FFFFFF"/>
    </w:rPr>
  </w:style>
  <w:style w:type="character" w:customStyle="1" w:styleId="66">
    <w:name w:val="layui-this"/>
    <w:basedOn w:val="28"/>
    <w:autoRedefine/>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16679</Words>
  <Characters>17519</Characters>
  <Lines>120</Lines>
  <Paragraphs>33</Paragraphs>
  <TotalTime>5</TotalTime>
  <ScaleCrop>false</ScaleCrop>
  <LinksUpToDate>false</LinksUpToDate>
  <CharactersWithSpaces>17628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2024-06-17T23:40:36Z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079A696EDF02486BB848DA2AE0392408_13</vt:lpwstr>
  </property>
</Properties>
</file>