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D073">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p>
    <w:p w14:paraId="18194507">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14:paraId="256A3111">
      <w:pPr>
        <w:pStyle w:val="55"/>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sz w:val="56"/>
          <w:szCs w:val="56"/>
          <w:lang w:eastAsia="zh-CN"/>
        </w:rPr>
      </w:pPr>
      <w:r>
        <w:rPr>
          <w:rFonts w:hint="eastAsia" w:ascii="Times New Roman" w:hAnsi="Times New Roman" w:eastAsia="宋体"/>
          <w:b/>
          <w:sz w:val="56"/>
          <w:szCs w:val="56"/>
          <w:lang w:eastAsia="zh-CN"/>
        </w:rPr>
        <w:t>南通市第三人民医院消防系统改造项目</w:t>
      </w:r>
    </w:p>
    <w:p w14:paraId="3B9B7B9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14:paraId="05910CD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14:paraId="487FB2F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14:paraId="05DDC48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14:paraId="627049D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14:paraId="6A1AA93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14:paraId="24961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14:paraId="43AF1A5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14:paraId="598111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36"/>
        </w:rPr>
      </w:pPr>
    </w:p>
    <w:p w14:paraId="4B1DF84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14:paraId="55E9D7B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sz w:val="30"/>
          <w:szCs w:val="30"/>
        </w:rPr>
      </w:pPr>
    </w:p>
    <w:p w14:paraId="1724E4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14:paraId="60B36CCE">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14:paraId="689D664C">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sz w:val="30"/>
          <w:szCs w:val="30"/>
          <w:lang w:eastAsia="zh-CN"/>
        </w:rPr>
      </w:pPr>
      <w:r>
        <w:rPr>
          <w:rFonts w:hint="eastAsia" w:ascii="Times New Roman" w:hAnsi="Times New Roman" w:eastAsia="宋体" w:cs="宋体"/>
          <w:b/>
          <w:sz w:val="30"/>
          <w:szCs w:val="30"/>
        </w:rPr>
        <w:t>二○二</w:t>
      </w:r>
      <w:r>
        <w:rPr>
          <w:rFonts w:hint="eastAsia" w:ascii="Times New Roman" w:hAnsi="Times New Roman" w:eastAsia="宋体" w:cs="宋体"/>
          <w:b/>
          <w:sz w:val="30"/>
          <w:szCs w:val="30"/>
          <w:lang w:eastAsia="zh-CN"/>
        </w:rPr>
        <w:t>四</w:t>
      </w:r>
      <w:r>
        <w:rPr>
          <w:rFonts w:hint="eastAsia" w:ascii="Times New Roman" w:hAnsi="Times New Roman" w:eastAsia="宋体" w:cs="宋体"/>
          <w:b/>
          <w:sz w:val="30"/>
          <w:szCs w:val="30"/>
        </w:rPr>
        <w:t>年</w:t>
      </w:r>
      <w:r>
        <w:rPr>
          <w:rFonts w:hint="eastAsia" w:ascii="Times New Roman" w:hAnsi="Times New Roman" w:eastAsia="宋体" w:cs="宋体"/>
          <w:b/>
          <w:sz w:val="30"/>
          <w:szCs w:val="30"/>
          <w:lang w:eastAsia="zh-CN"/>
        </w:rPr>
        <w:t>七月</w:t>
      </w:r>
    </w:p>
    <w:p w14:paraId="716420A6">
      <w:pPr>
        <w:keepNext w:val="0"/>
        <w:keepLines w:val="0"/>
        <w:pageBreakBefore w:val="0"/>
        <w:widowControl w:val="0"/>
        <w:wordWrap/>
        <w:topLinePunct w:val="0"/>
        <w:bidi w:val="0"/>
        <w:spacing w:line="360" w:lineRule="auto"/>
        <w:rPr>
          <w:rFonts w:hint="eastAsia" w:ascii="Times New Roman" w:hAnsi="Times New Roman" w:eastAsia="宋体" w:cs="仿宋"/>
          <w:b/>
          <w:sz w:val="32"/>
          <w:szCs w:val="32"/>
          <w:lang w:eastAsia="zh-CN"/>
        </w:rPr>
      </w:pPr>
      <w:r>
        <w:rPr>
          <w:rFonts w:hint="eastAsia" w:ascii="Times New Roman" w:hAnsi="Times New Roman" w:eastAsia="宋体" w:cs="仿宋"/>
          <w:b/>
          <w:sz w:val="32"/>
          <w:szCs w:val="32"/>
          <w:lang w:eastAsia="zh-CN"/>
        </w:rPr>
        <w:br w:type="page"/>
      </w:r>
    </w:p>
    <w:p w14:paraId="5172A593">
      <w:pPr>
        <w:pStyle w:val="8"/>
        <w:keepNext w:val="0"/>
        <w:keepLines w:val="0"/>
        <w:pageBreakBefore w:val="0"/>
        <w:widowControl w:val="0"/>
        <w:wordWrap/>
        <w:topLinePunct w:val="0"/>
        <w:bidi w:val="0"/>
        <w:spacing w:line="360" w:lineRule="auto"/>
        <w:rPr>
          <w:rFonts w:hint="eastAsia" w:ascii="Times New Roman" w:hAnsi="Times New Roman" w:eastAsia="宋体"/>
        </w:rPr>
      </w:pPr>
    </w:p>
    <w:p w14:paraId="2AED9958">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14:paraId="45A64792">
      <w:pPr>
        <w:pStyle w:val="6"/>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sz w:val="30"/>
        </w:rPr>
      </w:pPr>
    </w:p>
    <w:p w14:paraId="590627D2">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14:paraId="5D64F6C0">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14:paraId="114A1FAA">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14:paraId="2BC05041">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14:paraId="451A8294">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14:paraId="6AD71410">
      <w:pPr>
        <w:keepNext w:val="0"/>
        <w:keepLines w:val="0"/>
        <w:pageBreakBefore w:val="0"/>
        <w:widowControl w:val="0"/>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14:paraId="07FF2F6F">
      <w:pPr>
        <w:keepNext w:val="0"/>
        <w:keepLines w:val="0"/>
        <w:pageBreakBefore w:val="0"/>
        <w:widowControl w:val="0"/>
        <w:kinsoku/>
        <w:wordWrap/>
        <w:topLinePunct w:val="0"/>
        <w:autoSpaceDE/>
        <w:autoSpaceDN/>
        <w:bidi w:val="0"/>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14:paraId="69EB694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14:paraId="1B0AB7D1">
      <w:pPr>
        <w:pStyle w:val="24"/>
        <w:keepNext w:val="0"/>
        <w:keepLines w:val="0"/>
        <w:pageBreakBefore w:val="0"/>
        <w:widowControl w:val="0"/>
        <w:kinsoku/>
        <w:wordWrap/>
        <w:topLinePunct w:val="0"/>
        <w:autoSpaceDE/>
        <w:autoSpaceDN/>
        <w:bidi w:val="0"/>
        <w:spacing w:after="0" w:line="360" w:lineRule="auto"/>
        <w:rPr>
          <w:rFonts w:ascii="Times New Roman" w:hAnsi="Times New Roman" w:eastAsia="宋体" w:cs="宋体"/>
          <w:b/>
          <w:sz w:val="24"/>
          <w:szCs w:val="24"/>
        </w:rPr>
      </w:pPr>
      <w:r>
        <w:rPr>
          <w:rFonts w:ascii="Times New Roman" w:hAnsi="Times New Roman" w:eastAsia="宋体"/>
        </w:rPr>
        <w:br w:type="page"/>
      </w:r>
    </w:p>
    <w:p w14:paraId="5D35E548">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14:paraId="0F9410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14:paraId="1E81CC4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color w:val="auto"/>
          <w:sz w:val="24"/>
          <w:szCs w:val="24"/>
          <w:highlight w:val="none"/>
          <w:u w:val="single"/>
        </w:rPr>
      </w:pPr>
      <w:r>
        <w:rPr>
          <w:rFonts w:hint="eastAsia" w:ascii="Times New Roman" w:hAnsi="Times New Roman" w:eastAsia="宋体" w:cs="Times New Roman"/>
          <w:sz w:val="24"/>
          <w:szCs w:val="24"/>
          <w:lang w:eastAsia="zh-CN"/>
        </w:rPr>
        <w:t>南通市第三人民医院消防系统改造项目</w:t>
      </w:r>
      <w:r>
        <w:rPr>
          <w:rFonts w:hint="eastAsia" w:ascii="Times New Roman" w:hAnsi="Times New Roman" w:eastAsia="宋体" w:cs="Times New Roman"/>
          <w:color w:val="auto"/>
          <w:sz w:val="24"/>
          <w:szCs w:val="24"/>
        </w:rPr>
        <w:t>的潜在供应商应在南通市第三人民医院官网获取采购文件，并于</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7</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22</w:t>
      </w:r>
      <w:r>
        <w:rPr>
          <w:rFonts w:hint="eastAsia" w:ascii="Times New Roman" w:hAnsi="Times New Roman" w:eastAsia="宋体" w:cs="宋体"/>
          <w:bCs/>
          <w:color w:val="auto"/>
          <w:sz w:val="24"/>
          <w:szCs w:val="24"/>
          <w:highlight w:val="none"/>
          <w:u w:val="single"/>
        </w:rPr>
        <w:t>日1</w:t>
      </w:r>
      <w:r>
        <w:rPr>
          <w:rFonts w:hint="eastAsia" w:ascii="Times New Roman" w:hAnsi="Times New Roman" w:eastAsia="宋体" w:cs="宋体"/>
          <w:bCs/>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bCs/>
          <w:color w:val="auto"/>
          <w:sz w:val="24"/>
          <w:szCs w:val="24"/>
          <w:highlight w:val="none"/>
        </w:rPr>
        <w:t>（北京时间）</w:t>
      </w:r>
      <w:r>
        <w:rPr>
          <w:rFonts w:hint="eastAsia" w:ascii="Times New Roman" w:hAnsi="Times New Roman" w:eastAsia="宋体" w:cs="Times New Roman"/>
          <w:color w:val="auto"/>
          <w:sz w:val="24"/>
          <w:szCs w:val="24"/>
          <w:highlight w:val="none"/>
        </w:rPr>
        <w:t>前提交响应文件。</w:t>
      </w:r>
    </w:p>
    <w:p w14:paraId="49A9D39B">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一、项目基本情况</w:t>
      </w:r>
    </w:p>
    <w:p w14:paraId="54920BA7">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1、项目编号：</w:t>
      </w:r>
      <w:r>
        <w:rPr>
          <w:rFonts w:hint="eastAsia" w:ascii="Times New Roman" w:hAnsi="Times New Roman" w:eastAsia="宋体" w:cs="宋体"/>
          <w:color w:val="auto"/>
          <w:sz w:val="24"/>
          <w:szCs w:val="24"/>
          <w:highlight w:val="none"/>
          <w:lang w:val="en-US" w:eastAsia="zh-CN"/>
        </w:rPr>
        <w:t>SY-HXTDXFGZ240607</w:t>
      </w:r>
    </w:p>
    <w:p w14:paraId="1A2D13C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2、项目名称：</w:t>
      </w:r>
      <w:r>
        <w:rPr>
          <w:rFonts w:hint="eastAsia" w:ascii="Times New Roman" w:hAnsi="Times New Roman" w:eastAsia="宋体" w:cs="Times New Roman"/>
          <w:color w:val="auto"/>
          <w:sz w:val="24"/>
          <w:szCs w:val="24"/>
          <w:highlight w:val="none"/>
          <w:lang w:eastAsia="zh-CN"/>
        </w:rPr>
        <w:t>南通市第三人民医院消防系统改造项目</w:t>
      </w:r>
    </w:p>
    <w:p w14:paraId="099776D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3、采购人式：□竞争性谈判 </w:t>
      </w:r>
      <w:r>
        <w:rPr>
          <w:rFonts w:hint="eastAsia" w:ascii="Times New Roman" w:hAnsi="Times New Roman" w:eastAsia="宋体" w:cs="MS Mincho"/>
          <w:color w:val="auto"/>
          <w:sz w:val="24"/>
          <w:szCs w:val="24"/>
          <w:highlight w:val="none"/>
        </w:rPr>
        <w:t>☑</w:t>
      </w:r>
      <w:r>
        <w:rPr>
          <w:rFonts w:hint="eastAsia" w:ascii="Times New Roman" w:hAnsi="Times New Roman" w:eastAsia="宋体" w:cs="宋体"/>
          <w:color w:val="auto"/>
          <w:sz w:val="24"/>
          <w:szCs w:val="24"/>
          <w:highlight w:val="none"/>
        </w:rPr>
        <w:t>竞争性磋商 □询价</w:t>
      </w:r>
    </w:p>
    <w:p w14:paraId="0BFB2248">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4、预算金额：</w:t>
      </w:r>
      <w:r>
        <w:rPr>
          <w:rFonts w:hint="eastAsia" w:ascii="Times New Roman" w:hAnsi="Times New Roman" w:eastAsia="宋体" w:cs="宋体"/>
          <w:color w:val="auto"/>
          <w:sz w:val="24"/>
          <w:szCs w:val="24"/>
          <w:highlight w:val="none"/>
          <w:u w:val="none"/>
          <w:lang w:val="en-US" w:eastAsia="zh-CN"/>
        </w:rPr>
        <w:t>41</w:t>
      </w:r>
      <w:r>
        <w:rPr>
          <w:rFonts w:hint="eastAsia" w:ascii="Times New Roman" w:hAnsi="Times New Roman" w:eastAsia="宋体" w:cs="宋体"/>
          <w:color w:val="auto"/>
          <w:sz w:val="24"/>
          <w:szCs w:val="24"/>
          <w:highlight w:val="none"/>
        </w:rPr>
        <w:t>万元</w:t>
      </w:r>
    </w:p>
    <w:p w14:paraId="236EEE6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color w:val="auto"/>
          <w:sz w:val="24"/>
          <w:szCs w:val="24"/>
          <w:highlight w:val="none"/>
        </w:rPr>
        <w:t>5、</w:t>
      </w:r>
      <w:r>
        <w:rPr>
          <w:rFonts w:hint="eastAsia" w:ascii="Times New Roman" w:hAnsi="Times New Roman" w:eastAsia="宋体" w:cs="宋体"/>
          <w:b/>
          <w:bCs/>
          <w:color w:val="auto"/>
          <w:sz w:val="24"/>
          <w:szCs w:val="24"/>
          <w:highlight w:val="none"/>
        </w:rPr>
        <w:t>最高限价：</w:t>
      </w:r>
      <w:r>
        <w:rPr>
          <w:rFonts w:hint="eastAsia" w:ascii="Times New Roman" w:hAnsi="Times New Roman" w:eastAsia="宋体" w:cs="宋体"/>
          <w:b/>
          <w:bCs/>
          <w:color w:val="auto"/>
          <w:sz w:val="24"/>
          <w:szCs w:val="24"/>
          <w:highlight w:val="none"/>
          <w:u w:val="none"/>
          <w:lang w:val="en-US" w:eastAsia="zh-CN"/>
        </w:rPr>
        <w:t>41</w:t>
      </w:r>
      <w:r>
        <w:rPr>
          <w:rFonts w:hint="eastAsia" w:ascii="Times New Roman" w:hAnsi="Times New Roman" w:eastAsia="宋体" w:cs="宋体"/>
          <w:b/>
          <w:bCs/>
          <w:color w:val="auto"/>
          <w:sz w:val="24"/>
          <w:szCs w:val="24"/>
          <w:highlight w:val="none"/>
          <w:u w:val="none"/>
        </w:rPr>
        <w:t>万</w:t>
      </w:r>
      <w:r>
        <w:rPr>
          <w:rFonts w:hint="eastAsia" w:ascii="Times New Roman" w:hAnsi="Times New Roman" w:eastAsia="宋体" w:cs="宋体"/>
          <w:b/>
          <w:bCs/>
          <w:color w:val="auto"/>
          <w:sz w:val="24"/>
          <w:szCs w:val="24"/>
          <w:highlight w:val="none"/>
        </w:rPr>
        <w:t>元</w:t>
      </w:r>
      <w:r>
        <w:rPr>
          <w:rFonts w:hint="eastAsia" w:ascii="Times New Roman" w:hAnsi="Times New Roman" w:eastAsia="宋体" w:cs="仿宋"/>
          <w:b/>
          <w:bCs/>
          <w:color w:val="auto"/>
          <w:sz w:val="24"/>
          <w:szCs w:val="20"/>
          <w:highlight w:val="none"/>
        </w:rPr>
        <w:t>，报价超过最高限价的为</w:t>
      </w:r>
      <w:r>
        <w:rPr>
          <w:rFonts w:hint="eastAsia" w:ascii="Times New Roman" w:hAnsi="Times New Roman" w:eastAsia="宋体" w:cs="仿宋"/>
          <w:b/>
          <w:bCs/>
          <w:sz w:val="24"/>
          <w:szCs w:val="20"/>
          <w:highlight w:val="none"/>
        </w:rPr>
        <w:t>无效响应文件；</w:t>
      </w:r>
    </w:p>
    <w:p w14:paraId="2783644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6、采购需求：</w:t>
      </w:r>
      <w:r>
        <w:rPr>
          <w:rFonts w:hint="eastAsia" w:ascii="Times New Roman" w:hAnsi="Times New Roman" w:eastAsia="宋体" w:cs="宋体"/>
          <w:sz w:val="24"/>
          <w:szCs w:val="24"/>
          <w:highlight w:val="none"/>
          <w:lang w:eastAsia="zh-CN"/>
        </w:rPr>
        <w:t>南通市第三人民医院</w:t>
      </w:r>
      <w:r>
        <w:rPr>
          <w:rFonts w:hint="eastAsia" w:ascii="Times New Roman" w:hAnsi="Times New Roman" w:eastAsia="宋体" w:cs="Times New Roman"/>
          <w:color w:val="auto"/>
          <w:sz w:val="24"/>
          <w:szCs w:val="24"/>
          <w:highlight w:val="none"/>
          <w:lang w:eastAsia="zh-CN"/>
        </w:rPr>
        <w:t>消防系统改造项目</w:t>
      </w:r>
      <w:r>
        <w:rPr>
          <w:rFonts w:hint="eastAsia" w:ascii="Times New Roman" w:hAnsi="Times New Roman" w:eastAsia="宋体" w:cs="宋体"/>
          <w:sz w:val="24"/>
          <w:szCs w:val="24"/>
          <w:highlight w:val="none"/>
          <w:lang w:eastAsia="zh-CN"/>
        </w:rPr>
        <w:t>，具体内容详见竞争性磋商文件第三章项目需求。</w:t>
      </w:r>
    </w:p>
    <w:p w14:paraId="2BE8C299">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val="zh-CN" w:eastAsia="zh-CN"/>
        </w:rPr>
      </w:pPr>
      <w:r>
        <w:rPr>
          <w:rFonts w:hint="eastAsia" w:ascii="Times New Roman" w:hAnsi="Times New Roman" w:eastAsia="宋体" w:cs="宋体"/>
          <w:color w:val="auto"/>
          <w:sz w:val="24"/>
          <w:szCs w:val="24"/>
          <w:highlight w:val="none"/>
        </w:rPr>
        <w:t>7、</w:t>
      </w:r>
      <w:r>
        <w:rPr>
          <w:rFonts w:hint="eastAsia" w:ascii="Times New Roman" w:hAnsi="Times New Roman" w:eastAsia="宋体" w:cs="宋体"/>
          <w:b/>
          <w:bCs/>
          <w:color w:val="auto"/>
          <w:sz w:val="24"/>
          <w:szCs w:val="24"/>
          <w:highlight w:val="none"/>
          <w:lang w:eastAsia="zh-CN"/>
        </w:rPr>
        <w:t>合同履行期限</w:t>
      </w:r>
      <w:r>
        <w:rPr>
          <w:rFonts w:hint="eastAsia" w:ascii="Times New Roman" w:hAnsi="Times New Roman" w:eastAsia="宋体" w:cs="宋体"/>
          <w:color w:val="auto"/>
          <w:sz w:val="24"/>
          <w:szCs w:val="24"/>
          <w:highlight w:val="none"/>
        </w:rPr>
        <w:t>：成交供应商在</w:t>
      </w:r>
      <w:r>
        <w:rPr>
          <w:rFonts w:hint="eastAsia" w:ascii="Times New Roman" w:hAnsi="Times New Roman" w:eastAsia="宋体" w:cs="宋体"/>
          <w:color w:val="auto"/>
          <w:sz w:val="24"/>
          <w:szCs w:val="24"/>
          <w:highlight w:val="none"/>
          <w:lang w:eastAsia="zh-CN"/>
        </w:rPr>
        <w:t>签订</w:t>
      </w:r>
      <w:r>
        <w:rPr>
          <w:rFonts w:hint="eastAsia" w:ascii="Times New Roman" w:hAnsi="Times New Roman" w:eastAsia="宋体" w:cs="宋体"/>
          <w:color w:val="auto"/>
          <w:sz w:val="24"/>
          <w:szCs w:val="24"/>
          <w:highlight w:val="none"/>
        </w:rPr>
        <w:t>采购合同后，于</w:t>
      </w:r>
      <w:r>
        <w:rPr>
          <w:rFonts w:hint="eastAsia" w:ascii="Times New Roman" w:hAnsi="Times New Roman" w:eastAsia="宋体" w:cs="宋体"/>
          <w:color w:val="auto"/>
          <w:sz w:val="24"/>
          <w:szCs w:val="24"/>
          <w:highlight w:val="none"/>
          <w:lang w:eastAsia="zh-CN"/>
        </w:rPr>
        <w:t>五</w:t>
      </w:r>
      <w:r>
        <w:rPr>
          <w:rFonts w:hint="eastAsia" w:ascii="Times New Roman" w:hAnsi="Times New Roman" w:eastAsia="宋体" w:cs="宋体"/>
          <w:color w:val="auto"/>
          <w:sz w:val="24"/>
          <w:szCs w:val="24"/>
          <w:highlight w:val="none"/>
        </w:rPr>
        <w:t>十日历天内安装调试（供需双方另有约定除外），并经验收合格交付使用。</w:t>
      </w:r>
    </w:p>
    <w:p w14:paraId="5FDE01E6">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14:paraId="3680559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14:paraId="50454A6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14:paraId="240208D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14:paraId="51A1B4B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14:paraId="0E28A25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14:paraId="12591A9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14:paraId="0BC7FBF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14:paraId="2AC9B18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14:paraId="04229FCD">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lang w:eastAsia="zh-CN"/>
        </w:rPr>
        <w:t>无</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eastAsia="zh-CN"/>
        </w:rPr>
        <w:t>。</w:t>
      </w:r>
    </w:p>
    <w:p w14:paraId="5A400B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14:paraId="3810257C">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（1）</w:t>
      </w:r>
      <w:r>
        <w:rPr>
          <w:rFonts w:hint="eastAsia" w:ascii="Times New Roman" w:hAnsi="Times New Roman" w:eastAsia="宋体"/>
          <w:bCs/>
          <w:sz w:val="24"/>
          <w:szCs w:val="24"/>
        </w:rPr>
        <w:t>供应商</w:t>
      </w:r>
      <w:r>
        <w:rPr>
          <w:rFonts w:hint="eastAsia" w:ascii="Times New Roman" w:hAnsi="Times New Roman" w:eastAsia="宋体"/>
          <w:bCs/>
          <w:sz w:val="24"/>
          <w:szCs w:val="24"/>
          <w:lang w:eastAsia="zh-CN"/>
        </w:rPr>
        <w:t>是</w:t>
      </w:r>
      <w:r>
        <w:rPr>
          <w:rFonts w:hint="eastAsia" w:ascii="Times New Roman" w:hAnsi="Times New Roman" w:eastAsia="宋体"/>
          <w:bCs/>
          <w:sz w:val="24"/>
          <w:szCs w:val="24"/>
        </w:rPr>
        <w:t>具有独立承担民事责任能力</w:t>
      </w:r>
      <w:r>
        <w:rPr>
          <w:rFonts w:hint="eastAsia" w:ascii="Times New Roman" w:hAnsi="Times New Roman" w:eastAsia="宋体"/>
          <w:bCs/>
          <w:sz w:val="24"/>
          <w:szCs w:val="24"/>
          <w:lang w:eastAsia="zh-CN"/>
        </w:rPr>
        <w:t>的消防服务单位</w:t>
      </w:r>
      <w:r>
        <w:rPr>
          <w:rFonts w:hint="eastAsia" w:ascii="Times New Roman" w:hAnsi="Times New Roman" w:eastAsia="宋体"/>
          <w:bCs/>
          <w:sz w:val="24"/>
          <w:szCs w:val="24"/>
        </w:rPr>
        <w:t>，提供法人或者其他组织的营业执照等证明文件</w:t>
      </w:r>
      <w:r>
        <w:rPr>
          <w:rFonts w:hint="eastAsia" w:ascii="Times New Roman" w:hAnsi="Times New Roman" w:eastAsia="宋体"/>
          <w:color w:val="000000"/>
          <w:sz w:val="24"/>
          <w:szCs w:val="24"/>
        </w:rPr>
        <w:t>。</w:t>
      </w:r>
    </w:p>
    <w:p w14:paraId="05DB9E14">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rPr>
      </w:pPr>
      <w:r>
        <w:rPr>
          <w:rFonts w:hint="eastAsia" w:ascii="Times New Roman" w:hAnsi="Times New Roman" w:eastAsia="宋体"/>
          <w:color w:val="000000"/>
          <w:sz w:val="24"/>
          <w:szCs w:val="24"/>
        </w:rPr>
        <w:t>（2）法定代表人参加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的，必须提供法定代表人身份证明及法定代表人本人身份证两项复印件（须加盖单位公章）；非法定代表人参加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的，必须提供法定代表人签字或印章的授权委托书及被授权人本人身份证两项复印件</w:t>
      </w:r>
      <w:r>
        <w:rPr>
          <w:rFonts w:hint="eastAsia" w:ascii="Times New Roman" w:hAnsi="Times New Roman" w:eastAsia="宋体"/>
          <w:color w:val="000000"/>
          <w:sz w:val="24"/>
          <w:szCs w:val="24"/>
          <w:lang w:eastAsia="zh-CN"/>
        </w:rPr>
        <w:t>。</w:t>
      </w:r>
      <w:r>
        <w:rPr>
          <w:rFonts w:hint="eastAsia" w:ascii="Times New Roman" w:hAnsi="Times New Roman" w:eastAsia="宋体"/>
          <w:color w:val="000000"/>
          <w:sz w:val="24"/>
          <w:szCs w:val="24"/>
        </w:rPr>
        <w:t>（须加盖单位公章）</w:t>
      </w:r>
    </w:p>
    <w:p w14:paraId="16D945B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供应商应符合应急管理部颁布的《消防技术服务机构从业条件》（应急〔2019〕88号)的要求，社会消防技术服务信息系统中服务类型包含“消防设施维护保养”，需提供“社会消防技术服务信息系统（https://shhxf.119.gov.cn/templet/index_7.jsp）-消防机构信息”栏目的本单位基本信息截图打印件（加盖供应商单位公章）并确保可以公开查询。</w:t>
      </w:r>
    </w:p>
    <w:p w14:paraId="00035F5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（4）供应商需购买过团体人身意外伤害保险，且承诺在中标后签订合同前将负责本项目的所有人员全部含在保险名单内，提供承诺函，保单扫描件作为合同附件。    </w:t>
      </w:r>
    </w:p>
    <w:p w14:paraId="60884909">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4、未被“信用中国”网站（www.creditchina.gov.cn）列入失信被执行人、重大税收违法案件当事人名单、政府采购严重失信行为记录名单。</w:t>
      </w:r>
    </w:p>
    <w:p w14:paraId="4EE0DDC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bookmarkStart w:id="16" w:name="_GoBack"/>
      <w:bookmarkEnd w:id="16"/>
    </w:p>
    <w:p w14:paraId="666DDEE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14:paraId="2DB55DC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bookmarkStart w:id="2" w:name="_Toc28359005"/>
      <w:bookmarkStart w:id="3" w:name="_Toc35393624"/>
      <w:bookmarkStart w:id="4" w:name="_Toc35393793"/>
      <w:bookmarkStart w:id="5" w:name="_Toc28359082"/>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7</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21</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8</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14:paraId="3C3B874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南通市第三人民医院</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官网自行下载采购文件。</w:t>
      </w:r>
    </w:p>
    <w:p w14:paraId="3D01948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w:t>
      </w:r>
      <w:r>
        <w:rPr>
          <w:rFonts w:hint="eastAsia" w:ascii="Times New Roman" w:hAnsi="Times New Roman" w:eastAsia="宋体" w:cs="宋体"/>
          <w:sz w:val="24"/>
          <w:szCs w:val="24"/>
          <w:highlight w:val="none"/>
          <w:lang w:eastAsia="zh-CN"/>
        </w:rPr>
        <w:t>报名时递交给采购代理机构</w:t>
      </w:r>
      <w:r>
        <w:rPr>
          <w:rFonts w:hint="eastAsia" w:ascii="Times New Roman" w:hAnsi="Times New Roman" w:eastAsia="宋体" w:cs="宋体"/>
          <w:sz w:val="24"/>
          <w:szCs w:val="24"/>
          <w:highlight w:val="none"/>
        </w:rPr>
        <w:t>，售后不退。</w:t>
      </w:r>
    </w:p>
    <w:p w14:paraId="2D1C10D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w:t>
      </w:r>
      <w:r>
        <w:rPr>
          <w:rFonts w:hint="eastAsia" w:ascii="Times New Roman" w:hAnsi="Times New Roman" w:eastAsia="宋体" w:cs="宋体"/>
          <w:b/>
          <w:sz w:val="24"/>
          <w:szCs w:val="24"/>
          <w:highlight w:val="none"/>
          <w:lang w:val="en-US" w:eastAsia="zh-CN"/>
        </w:rPr>
        <w:t>4</w:t>
      </w:r>
      <w:r>
        <w:rPr>
          <w:rFonts w:hint="eastAsia" w:ascii="Times New Roman" w:hAnsi="Times New Roman" w:eastAsia="宋体" w:cs="宋体"/>
          <w:b/>
          <w:sz w:val="24"/>
          <w:szCs w:val="24"/>
          <w:highlight w:val="none"/>
        </w:rPr>
        <w:t>年</w:t>
      </w:r>
      <w:r>
        <w:rPr>
          <w:rFonts w:hint="eastAsia" w:ascii="Times New Roman" w:hAnsi="Times New Roman" w:eastAsia="宋体" w:cs="宋体"/>
          <w:b/>
          <w:sz w:val="24"/>
          <w:szCs w:val="24"/>
          <w:highlight w:val="none"/>
          <w:lang w:val="en-US" w:eastAsia="zh-CN"/>
        </w:rPr>
        <w:t>7</w:t>
      </w:r>
      <w:r>
        <w:rPr>
          <w:rFonts w:hint="eastAsia" w:ascii="Times New Roman" w:hAnsi="Times New Roman" w:eastAsia="宋体" w:cs="宋体"/>
          <w:b/>
          <w:sz w:val="24"/>
          <w:szCs w:val="24"/>
          <w:highlight w:val="none"/>
        </w:rPr>
        <w:t>月</w:t>
      </w:r>
      <w:r>
        <w:rPr>
          <w:rFonts w:hint="eastAsia" w:ascii="Times New Roman" w:hAnsi="Times New Roman" w:eastAsia="宋体" w:cs="宋体"/>
          <w:b/>
          <w:sz w:val="24"/>
          <w:szCs w:val="24"/>
          <w:highlight w:val="none"/>
          <w:lang w:val="en-US" w:eastAsia="zh-CN"/>
        </w:rPr>
        <w:t>21</w:t>
      </w:r>
      <w:r>
        <w:rPr>
          <w:rFonts w:hint="eastAsia" w:ascii="Times New Roman" w:hAnsi="Times New Roman" w:eastAsia="宋体" w:cs="宋体"/>
          <w:b/>
          <w:sz w:val="24"/>
          <w:szCs w:val="24"/>
          <w:highlight w:val="none"/>
        </w:rPr>
        <w:t>日18时00分前</w:t>
      </w:r>
      <w:r>
        <w:rPr>
          <w:rFonts w:hint="eastAsia" w:ascii="Times New Roman" w:hAnsi="Times New Roman" w:eastAsia="宋体" w:cs="宋体"/>
          <w:b/>
          <w:sz w:val="24"/>
          <w:szCs w:val="24"/>
          <w:highlight w:val="none"/>
          <w:lang w:eastAsia="zh-CN"/>
        </w:rPr>
        <w:t>联系</w:t>
      </w:r>
      <w:r>
        <w:rPr>
          <w:rFonts w:hint="eastAsia" w:ascii="Times New Roman" w:hAnsi="Times New Roman" w:eastAsia="宋体" w:cs="宋体"/>
          <w:b/>
          <w:sz w:val="24"/>
          <w:szCs w:val="24"/>
          <w:highlight w:val="none"/>
        </w:rPr>
        <w:t>代理机构报名</w:t>
      </w:r>
      <w:r>
        <w:rPr>
          <w:rFonts w:hint="eastAsia" w:ascii="Times New Roman" w:hAnsi="Times New Roman" w:eastAsia="宋体" w:cs="宋体"/>
          <w:b/>
          <w:bCs w:val="0"/>
          <w:sz w:val="24"/>
          <w:szCs w:val="24"/>
          <w:highlight w:val="none"/>
          <w:lang w:eastAsia="zh-CN"/>
        </w:rPr>
        <w:t>（联系人：</w:t>
      </w:r>
      <w:r>
        <w:rPr>
          <w:rFonts w:hint="eastAsia" w:ascii="Times New Roman" w:hAnsi="Times New Roman" w:eastAsia="宋体"/>
          <w:b/>
          <w:bCs w:val="0"/>
          <w:sz w:val="24"/>
          <w:szCs w:val="24"/>
        </w:rPr>
        <w:t>董安国</w:t>
      </w:r>
      <w:r>
        <w:rPr>
          <w:rFonts w:hint="eastAsia" w:ascii="Times New Roman" w:hAnsi="Times New Roman" w:eastAsia="宋体"/>
          <w:b/>
          <w:bCs w:val="0"/>
          <w:sz w:val="24"/>
          <w:szCs w:val="24"/>
          <w:lang w:eastAsia="zh-CN"/>
        </w:rPr>
        <w:t>，</w:t>
      </w:r>
      <w:r>
        <w:rPr>
          <w:rFonts w:hint="eastAsia" w:ascii="Times New Roman" w:hAnsi="Times New Roman" w:eastAsia="宋体"/>
          <w:b/>
          <w:bCs w:val="0"/>
          <w:sz w:val="24"/>
          <w:szCs w:val="24"/>
        </w:rPr>
        <w:t>联系电话：</w:t>
      </w:r>
      <w:r>
        <w:rPr>
          <w:rFonts w:hint="eastAsia" w:ascii="Times New Roman" w:hAnsi="Times New Roman" w:eastAsia="宋体" w:cs="宋体"/>
          <w:b/>
          <w:bCs w:val="0"/>
          <w:kern w:val="0"/>
          <w:sz w:val="24"/>
        </w:rPr>
        <w:t>18912299056</w:t>
      </w:r>
      <w:r>
        <w:rPr>
          <w:rFonts w:hint="eastAsia" w:ascii="Times New Roman" w:hAnsi="Times New Roman" w:eastAsia="宋体" w:cs="宋体"/>
          <w:b/>
          <w:bCs w:val="0"/>
          <w:kern w:val="0"/>
          <w:sz w:val="24"/>
          <w:lang w:eastAsia="zh-CN"/>
        </w:rPr>
        <w:t>，</w:t>
      </w:r>
      <w:r>
        <w:rPr>
          <w:rFonts w:hint="eastAsia" w:ascii="Times New Roman" w:hAnsi="Times New Roman" w:eastAsia="宋体" w:cs="宋体"/>
          <w:b/>
          <w:bCs w:val="0"/>
          <w:kern w:val="0"/>
          <w:sz w:val="24"/>
        </w:rPr>
        <w:t>邮箱：812298892@qq.com</w:t>
      </w:r>
      <w:r>
        <w:rPr>
          <w:rFonts w:hint="eastAsia" w:ascii="Times New Roman" w:hAnsi="Times New Roman" w:eastAsia="宋体" w:cs="宋体"/>
          <w:b/>
          <w:bCs w:val="0"/>
          <w:sz w:val="24"/>
          <w:szCs w:val="24"/>
          <w:highlight w:val="none"/>
          <w:lang w:eastAsia="zh-CN"/>
        </w:rPr>
        <w:t>）</w:t>
      </w:r>
      <w:r>
        <w:rPr>
          <w:rFonts w:hint="eastAsia" w:ascii="Times New Roman" w:hAnsi="Times New Roman" w:eastAsia="宋体" w:cs="宋体"/>
          <w:b/>
          <w:sz w:val="24"/>
          <w:szCs w:val="24"/>
          <w:highlight w:val="none"/>
        </w:rPr>
        <w:t>，未报名单位不得参加本项目的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14:paraId="3D073BB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28359007"/>
      <w:bookmarkStart w:id="7" w:name="_Toc28359084"/>
      <w:bookmarkStart w:id="8" w:name="_Toc35393794"/>
      <w:bookmarkStart w:id="9" w:name="_Toc35393625"/>
      <w:r>
        <w:rPr>
          <w:rFonts w:hint="eastAsia" w:ascii="Times New Roman" w:hAnsi="Times New Roman" w:eastAsia="宋体" w:cs="宋体"/>
          <w:b/>
          <w:kern w:val="0"/>
          <w:sz w:val="24"/>
          <w:szCs w:val="24"/>
          <w:highlight w:val="none"/>
        </w:rPr>
        <w:t>四、响应文件提交</w:t>
      </w:r>
    </w:p>
    <w:p w14:paraId="206C519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7</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22</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14:paraId="31FA91AD">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，如有变动另行通知。</w:t>
      </w:r>
    </w:p>
    <w:p w14:paraId="0CFEAE89">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14:paraId="5849BDD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7</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22</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14:paraId="1C27D16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w:t>
      </w:r>
    </w:p>
    <w:p w14:paraId="01BC8F7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14:paraId="1A25B28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14:paraId="1063B434">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14:paraId="31763BC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w:t>
      </w:r>
      <w:r>
        <w:rPr>
          <w:rFonts w:hint="eastAsia" w:ascii="Times New Roman" w:hAnsi="Times New Roman" w:eastAsia="宋体" w:cs="宋体"/>
          <w:kern w:val="0"/>
          <w:sz w:val="24"/>
          <w:szCs w:val="24"/>
          <w:highlight w:val="none"/>
          <w:lang w:val="en-US" w:eastAsia="zh-CN"/>
        </w:rPr>
        <w:t>磋商保证金：免收。</w:t>
      </w:r>
      <w:r>
        <w:rPr>
          <w:rFonts w:hint="eastAsia" w:ascii="Times New Roman" w:hAnsi="Times New Roman" w:eastAsia="宋体" w:cs="宋体"/>
          <w:kern w:val="0"/>
          <w:sz w:val="24"/>
          <w:szCs w:val="24"/>
          <w:highlight w:val="none"/>
        </w:rPr>
        <w:t>本项目不收取磋商保证金，采购文件中涉及磋商保证金的事项，均按免收保证金执行。</w:t>
      </w:r>
    </w:p>
    <w:p w14:paraId="45ECEFF1">
      <w:pPr>
        <w:spacing w:line="360" w:lineRule="auto"/>
        <w:ind w:firstLine="480" w:firstLineChars="200"/>
        <w:rPr>
          <w:rFonts w:cs="宋体"/>
          <w:kern w:val="0"/>
          <w:sz w:val="24"/>
          <w:szCs w:val="24"/>
        </w:rPr>
      </w:pPr>
      <w:r>
        <w:rPr>
          <w:rFonts w:hint="eastAsia" w:cs="宋体"/>
          <w:bCs/>
          <w:sz w:val="24"/>
          <w:szCs w:val="24"/>
          <w:lang w:val="en-US" w:eastAsia="zh-CN"/>
        </w:rPr>
        <w:t>2</w:t>
      </w:r>
      <w:r>
        <w:rPr>
          <w:rFonts w:hint="eastAsia" w:cs="宋体"/>
          <w:bCs/>
          <w:sz w:val="24"/>
          <w:szCs w:val="24"/>
        </w:rPr>
        <w:t>、</w:t>
      </w:r>
      <w:r>
        <w:rPr>
          <w:rFonts w:cs="宋体"/>
          <w:kern w:val="0"/>
          <w:sz w:val="24"/>
          <w:szCs w:val="24"/>
        </w:rPr>
        <w:t>项目</w:t>
      </w:r>
      <w:r>
        <w:rPr>
          <w:rFonts w:hint="eastAsia" w:cs="宋体"/>
          <w:kern w:val="0"/>
          <w:sz w:val="24"/>
          <w:szCs w:val="24"/>
        </w:rPr>
        <w:t>磋商</w:t>
      </w:r>
      <w:r>
        <w:rPr>
          <w:rFonts w:cs="宋体"/>
          <w:kern w:val="0"/>
          <w:sz w:val="24"/>
          <w:szCs w:val="24"/>
        </w:rPr>
        <w:t>活动模式：</w:t>
      </w:r>
      <w:r>
        <w:rPr>
          <w:rFonts w:hint="eastAsia" w:cs="宋体"/>
          <w:kern w:val="0"/>
          <w:sz w:val="24"/>
          <w:szCs w:val="24"/>
        </w:rPr>
        <w:t>现场磋商模式</w:t>
      </w:r>
      <w:r>
        <w:rPr>
          <w:rFonts w:cs="宋体"/>
          <w:kern w:val="0"/>
          <w:sz w:val="24"/>
          <w:szCs w:val="24"/>
        </w:rPr>
        <w:t>。</w:t>
      </w:r>
    </w:p>
    <w:p w14:paraId="62022B04">
      <w:pPr>
        <w:spacing w:line="360" w:lineRule="auto"/>
        <w:ind w:firstLine="480" w:firstLineChars="200"/>
      </w:pPr>
      <w:r>
        <w:rPr>
          <w:rFonts w:hint="eastAsia" w:cs="宋体"/>
          <w:kern w:val="0"/>
          <w:sz w:val="24"/>
          <w:szCs w:val="24"/>
          <w:lang w:val="en-US" w:eastAsia="zh-CN"/>
        </w:rPr>
        <w:t>3</w:t>
      </w:r>
      <w:r>
        <w:rPr>
          <w:rFonts w:cs="宋体"/>
          <w:kern w:val="0"/>
          <w:sz w:val="24"/>
          <w:szCs w:val="24"/>
        </w:rPr>
        <w:t>、项目演示、样品、答辩等：无</w:t>
      </w:r>
      <w:r>
        <w:rPr>
          <w:rFonts w:hint="eastAsia" w:cs="宋体"/>
          <w:kern w:val="0"/>
          <w:sz w:val="24"/>
          <w:szCs w:val="24"/>
        </w:rPr>
        <w:t>。</w:t>
      </w:r>
    </w:p>
    <w:p w14:paraId="05019CFE">
      <w:pPr>
        <w:spacing w:line="360" w:lineRule="auto"/>
        <w:ind w:firstLine="480" w:firstLineChars="200"/>
        <w:textAlignment w:val="baseline"/>
        <w:rPr>
          <w:sz w:val="24"/>
          <w:szCs w:val="24"/>
        </w:rPr>
      </w:pPr>
      <w:r>
        <w:rPr>
          <w:rFonts w:hint="eastAsia" w:cs="宋体"/>
          <w:sz w:val="24"/>
          <w:lang w:val="en-US" w:eastAsia="zh-CN"/>
        </w:rPr>
        <w:t>4</w:t>
      </w:r>
      <w:r>
        <w:rPr>
          <w:rFonts w:hint="eastAsia" w:cs="宋体"/>
          <w:sz w:val="24"/>
        </w:rPr>
        <w:t>、</w:t>
      </w:r>
      <w:r>
        <w:rPr>
          <w:rFonts w:hint="eastAsia"/>
          <w:sz w:val="24"/>
          <w:szCs w:val="24"/>
        </w:rPr>
        <w:t>对项目需求部分（供应商其他资格要求、项目需求、评分标准）的询问、质疑请向采购人提出，由采购人负责答复；对项目磋商文件其它部分的询问请向采购人或招标代理提出。</w:t>
      </w:r>
    </w:p>
    <w:p w14:paraId="125A902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sz w:val="24"/>
          <w:szCs w:val="24"/>
          <w:lang w:val="en-US" w:eastAsia="zh-CN"/>
        </w:rPr>
      </w:pPr>
      <w:r>
        <w:rPr>
          <w:rFonts w:hint="eastAsia"/>
          <w:sz w:val="24"/>
          <w:szCs w:val="24"/>
          <w:lang w:val="en-US" w:eastAsia="zh-CN"/>
        </w:rPr>
        <w:t>5</w:t>
      </w:r>
      <w:r>
        <w:rPr>
          <w:rFonts w:hint="eastAsia"/>
          <w:sz w:val="24"/>
          <w:szCs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sz w:val="24"/>
          <w:szCs w:val="24"/>
          <w:lang w:val="en-US" w:eastAsia="zh-CN"/>
        </w:rPr>
        <w:t xml:space="preserve">     </w:t>
      </w:r>
    </w:p>
    <w:p w14:paraId="49BD68DE">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八、凡对本次采购提出询问，请按以下方式联系</w:t>
      </w:r>
    </w:p>
    <w:p w14:paraId="7DF947D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14:paraId="632D16B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14:paraId="1827BC18">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w:t>
      </w:r>
      <w:r>
        <w:rPr>
          <w:rFonts w:hint="eastAsia" w:ascii="Times New Roman" w:hAnsi="Times New Roman" w:eastAsia="宋体"/>
          <w:sz w:val="24"/>
          <w:szCs w:val="24"/>
          <w:lang w:val="en-US" w:eastAsia="zh-CN"/>
        </w:rPr>
        <w:t>60</w:t>
      </w:r>
      <w:r>
        <w:rPr>
          <w:rFonts w:hint="eastAsia" w:ascii="Times New Roman" w:hAnsi="Times New Roman" w:eastAsia="宋体"/>
          <w:sz w:val="24"/>
          <w:szCs w:val="24"/>
        </w:rPr>
        <w:t>号</w:t>
      </w:r>
    </w:p>
    <w:p w14:paraId="2092EE77">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w:t>
      </w:r>
      <w:r>
        <w:rPr>
          <w:rFonts w:hint="eastAsia" w:ascii="Times New Roman" w:hAnsi="Times New Roman" w:eastAsia="宋体" w:cs="宋体"/>
          <w:bCs/>
          <w:sz w:val="24"/>
          <w:lang w:eastAsia="zh-CN"/>
        </w:rPr>
        <w:t>先生</w:t>
      </w:r>
    </w:p>
    <w:p w14:paraId="4E618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14:paraId="5F705B3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14:paraId="445C7E5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14:paraId="70CFEE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14:paraId="345F879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14:paraId="6EAD7A8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14:paraId="2D2133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14:paraId="4D54756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14:paraId="530951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14:paraId="7B9698F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14:paraId="7878B4C5">
      <w:pPr>
        <w:pStyle w:val="10"/>
        <w:keepNext w:val="0"/>
        <w:keepLines w:val="0"/>
        <w:pageBreakBefore w:val="0"/>
        <w:widowControl w:val="0"/>
        <w:kinsoku/>
        <w:wordWrap/>
        <w:topLinePunct w:val="0"/>
        <w:autoSpaceDE/>
        <w:autoSpaceDN/>
        <w:bidi w:val="0"/>
        <w:spacing w:line="360" w:lineRule="auto"/>
        <w:rPr>
          <w:rFonts w:ascii="Times New Roman" w:hAnsi="Times New Roman" w:eastAsia="宋体"/>
          <w:kern w:val="0"/>
        </w:rPr>
      </w:pPr>
      <w:r>
        <w:rPr>
          <w:rFonts w:ascii="Times New Roman" w:hAnsi="Times New Roman" w:eastAsia="宋体"/>
          <w:kern w:val="0"/>
        </w:rPr>
        <w:br w:type="page"/>
      </w:r>
    </w:p>
    <w:p w14:paraId="2AA378F3">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14:paraId="5586FE3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14:paraId="42DBB24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14:paraId="191377F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14:paraId="0F581CB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14:paraId="222F883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14:paraId="53B8395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14:paraId="1620B33A">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14:paraId="590F4E0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14:paraId="76ABF4E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14:paraId="09A6E0D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14:paraId="773D6E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14:paraId="063853BA">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
          <w:bCs/>
          <w:sz w:val="24"/>
          <w:szCs w:val="24"/>
        </w:rPr>
      </w:pP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rPr>
        <w:t>为了供应商准确掌握项目现场实际情况，根据实际情况作出客观可行的方案及报价，</w:t>
      </w:r>
      <w:r>
        <w:rPr>
          <w:rFonts w:hint="eastAsia" w:ascii="Times New Roman" w:hAnsi="Times New Roman" w:eastAsia="宋体" w:cs="宋体"/>
          <w:b/>
          <w:bCs/>
          <w:sz w:val="24"/>
          <w:szCs w:val="24"/>
        </w:rPr>
        <w:t>供应商可与</w:t>
      </w:r>
      <w:r>
        <w:rPr>
          <w:rFonts w:hint="eastAsia" w:ascii="Times New Roman" w:hAnsi="Times New Roman" w:eastAsia="宋体" w:cs="宋体"/>
          <w:b/>
          <w:bCs/>
          <w:sz w:val="24"/>
          <w:szCs w:val="24"/>
          <w:lang w:eastAsia="zh-CN"/>
        </w:rPr>
        <w:t>医院</w:t>
      </w:r>
      <w:r>
        <w:rPr>
          <w:rFonts w:hint="eastAsia" w:ascii="Times New Roman" w:hAnsi="Times New Roman" w:eastAsia="宋体" w:cs="宋体"/>
          <w:b/>
          <w:bCs/>
          <w:sz w:val="24"/>
          <w:szCs w:val="24"/>
        </w:rPr>
        <w:t>保卫科联系踏勘项目现场，并取得现场勘察证明</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联系人：张德明</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联系电话：0513-85116011。</w:t>
      </w:r>
    </w:p>
    <w:p w14:paraId="08F1E32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14:paraId="687F5B3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14:paraId="755CEFF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14:paraId="3631A0C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14:paraId="712FA2E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14:paraId="767CF4F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14:paraId="38D9FA6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14:paraId="05D64943">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14:paraId="474761A5">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14:paraId="055F8A0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14:paraId="113B25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14:paraId="4EAC643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w:t>
      </w:r>
      <w:r>
        <w:rPr>
          <w:rFonts w:hint="eastAsia" w:ascii="Times New Roman" w:hAnsi="Times New Roman" w:eastAsia="宋体" w:cs="宋体"/>
          <w:b/>
          <w:sz w:val="24"/>
          <w:szCs w:val="24"/>
          <w:lang w:eastAsia="zh-CN"/>
        </w:rPr>
        <w:t>叁</w:t>
      </w:r>
      <w:r>
        <w:rPr>
          <w:rFonts w:hint="eastAsia" w:ascii="Times New Roman" w:hAnsi="Times New Roman" w:eastAsia="宋体" w:cs="宋体"/>
          <w:b/>
          <w:sz w:val="24"/>
          <w:szCs w:val="24"/>
        </w:rPr>
        <w:t>份，其中</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正本</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壹份和</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副本</w:t>
      </w:r>
      <w:r>
        <w:rPr>
          <w:rFonts w:hint="eastAsia" w:ascii="Times New Roman" w:hAnsi="Times New Roman" w:eastAsia="宋体" w:cs="宋体"/>
          <w:b/>
          <w:sz w:val="24"/>
          <w:szCs w:val="24"/>
          <w:lang w:eastAsia="zh-CN"/>
        </w:rPr>
        <w:t>”贰</w:t>
      </w:r>
      <w:r>
        <w:rPr>
          <w:rFonts w:hint="eastAsia" w:ascii="Times New Roman" w:hAnsi="Times New Roman" w:eastAsia="宋体" w:cs="宋体"/>
          <w:b/>
          <w:sz w:val="24"/>
          <w:szCs w:val="24"/>
        </w:rPr>
        <w:t>份。</w:t>
      </w:r>
    </w:p>
    <w:p w14:paraId="4FACA949">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字样。</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和</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若有差异，概以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为准。</w:t>
      </w:r>
    </w:p>
    <w:p w14:paraId="462B9602">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14:paraId="10A8B01A">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，其正文内容须按磋商文件要求由供应商法定代表人或被授权人签字（或盖章）并加盖单位公章。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可复印，但须加盖单位公章。</w:t>
      </w:r>
    </w:p>
    <w:p w14:paraId="6830A851">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14:paraId="7A047CA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14:paraId="5DBB13A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14:paraId="6651779D">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或</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中，均不得含有报价响应文件中报价表（报价单）内的任何项目价格，否则作无效投标处理。</w:t>
      </w:r>
    </w:p>
    <w:p w14:paraId="56EC8E2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14:paraId="752A621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14:paraId="467FDC3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14:paraId="08E7542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53B59C29">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w:t>
      </w:r>
      <w:r>
        <w:rPr>
          <w:rFonts w:hint="eastAsia" w:ascii="Times New Roman" w:hAnsi="Times New Roman" w:eastAsia="宋体"/>
          <w:bCs/>
          <w:sz w:val="24"/>
          <w:szCs w:val="24"/>
        </w:rPr>
        <w:t>成本、利润、税金、开办费、政策性调整风险费等的所有费用；</w:t>
      </w:r>
      <w:r>
        <w:rPr>
          <w:rFonts w:hint="eastAsia" w:ascii="Times New Roman" w:hAnsi="Times New Roman" w:eastAsia="宋体" w:cs="宋体"/>
          <w:sz w:val="24"/>
          <w:szCs w:val="24"/>
        </w:rPr>
        <w:t>辅材费、</w:t>
      </w:r>
      <w:r>
        <w:rPr>
          <w:rFonts w:hint="eastAsia" w:ascii="Times New Roman" w:hAnsi="Times New Roman" w:eastAsia="宋体"/>
          <w:bCs/>
          <w:sz w:val="24"/>
          <w:szCs w:val="24"/>
        </w:rPr>
        <w:t>人工费、检测费、管理费；国家税务部门规定的各项税金；相关伴随服务以及售后服务等一切费用</w:t>
      </w:r>
      <w:r>
        <w:rPr>
          <w:rFonts w:hint="eastAsia" w:ascii="Times New Roman" w:hAnsi="Times New Roman" w:eastAsia="宋体" w:cs="宋体"/>
          <w:sz w:val="24"/>
          <w:szCs w:val="24"/>
        </w:rPr>
        <w:t>。同时，报价也应包含合同履行过程中可能发生的一切风险。）</w:t>
      </w:r>
    </w:p>
    <w:p w14:paraId="1176815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14:paraId="2787124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14:paraId="1C2798E4">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14:paraId="3C2E314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14:paraId="722C767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14:paraId="27D212B7">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14:paraId="35B465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14:paraId="71871DA7">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1、磋商文件每套售价300元，在</w:t>
      </w:r>
      <w:r>
        <w:rPr>
          <w:rFonts w:hint="eastAsia" w:ascii="Times New Roman" w:hAnsi="Times New Roman" w:eastAsia="宋体" w:cs="宋体"/>
          <w:sz w:val="24"/>
          <w:szCs w:val="24"/>
          <w:lang w:eastAsia="zh-CN"/>
        </w:rPr>
        <w:t>报名</w:t>
      </w:r>
      <w:r>
        <w:rPr>
          <w:rFonts w:hint="eastAsia" w:ascii="Times New Roman" w:hAnsi="Times New Roman" w:eastAsia="宋体" w:cs="宋体"/>
          <w:sz w:val="24"/>
          <w:szCs w:val="24"/>
        </w:rPr>
        <w:t>的同时提交给</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代理机构。</w:t>
      </w:r>
    </w:p>
    <w:p w14:paraId="7E0385F4">
      <w:pPr>
        <w:keepNext w:val="0"/>
        <w:keepLines w:val="0"/>
        <w:pageBreakBefore w:val="0"/>
        <w:widowControl w:val="0"/>
        <w:kinsoku/>
        <w:wordWrap/>
        <w:topLinePunct w:val="0"/>
        <w:autoSpaceDE/>
        <w:autoSpaceDN/>
        <w:bidi w:val="0"/>
        <w:spacing w:line="360" w:lineRule="auto"/>
        <w:ind w:firstLine="460" w:firstLineChars="192"/>
        <w:textAlignment w:val="baseline"/>
        <w:rPr>
          <w:rFonts w:hint="eastAsia" w:ascii="Times New Roman" w:hAnsi="Times New Roman" w:cs="宋体" w:eastAsiaTheme="minorEastAsia"/>
          <w:sz w:val="24"/>
          <w:szCs w:val="24"/>
          <w:lang w:eastAsia="zh-CN"/>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服务费按差额定率累进法计算，以成交通知书确定的</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金额作为收费的计算依据，按招标收费标准下浮40%计算，不满1500元的，按1500元收取。</w:t>
      </w:r>
      <w:r>
        <w:rPr>
          <w:rFonts w:hint="eastAsia" w:ascii="Times New Roman" w:cs="仿宋"/>
          <w:color w:val="auto"/>
          <w:sz w:val="24"/>
          <w:szCs w:val="24"/>
        </w:rPr>
        <w:t>评委费按照南通市财政局通财购【2018】18 号文按实</w:t>
      </w:r>
      <w:r>
        <w:rPr>
          <w:rFonts w:hint="eastAsia" w:ascii="Times New Roman" w:cs="仿宋"/>
          <w:color w:val="auto"/>
          <w:sz w:val="24"/>
          <w:szCs w:val="24"/>
          <w:lang w:eastAsia="zh-CN"/>
        </w:rPr>
        <w:t>计</w:t>
      </w:r>
      <w:r>
        <w:rPr>
          <w:rFonts w:hint="eastAsia" w:ascii="Times New Roman" w:cs="仿宋"/>
          <w:color w:val="auto"/>
          <w:sz w:val="24"/>
          <w:szCs w:val="24"/>
        </w:rPr>
        <w:t>取</w:t>
      </w:r>
      <w:r>
        <w:rPr>
          <w:rFonts w:hint="eastAsia" w:ascii="Times New Roman" w:cs="仿宋"/>
          <w:color w:val="auto"/>
          <w:sz w:val="24"/>
          <w:szCs w:val="24"/>
          <w:lang w:eastAsia="zh-CN"/>
        </w:rPr>
        <w:t>。</w:t>
      </w:r>
    </w:p>
    <w:p w14:paraId="74E7B100">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14:paraId="58CC8B51">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14:paraId="29D58D17">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14:paraId="31E380B5">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日历天</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内响应文件应保持有效。有效期短于这个规定期限的磋商，将被拒绝。</w:t>
      </w:r>
    </w:p>
    <w:p w14:paraId="060FA8E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14:paraId="070D48B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14:paraId="5E2AD763">
      <w:pPr>
        <w:wordWrap w:val="0"/>
        <w:spacing w:line="360" w:lineRule="auto"/>
        <w:ind w:firstLine="480" w:firstLineChars="200"/>
        <w:rPr>
          <w:rFonts w:hint="eastAsia" w:ascii="宋体" w:hAnsi="宋体" w:cs="宋体"/>
          <w:sz w:val="24"/>
        </w:rPr>
      </w:pPr>
      <w:r>
        <w:rPr>
          <w:rFonts w:hint="eastAsia" w:ascii="宋体" w:hAnsi="宋体" w:cs="宋体"/>
          <w:sz w:val="24"/>
        </w:rPr>
        <w:t>按《中华人民共和国政府采购法》及《政府采购竞争性磋商采购方式管理暂行办法》与其他有关法律法规的规定执行。</w:t>
      </w:r>
    </w:p>
    <w:p w14:paraId="4DF9C9B8">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14:paraId="49FAFCA5">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14:paraId="5B04D98C">
      <w:pPr>
        <w:adjustRightInd w:val="0"/>
        <w:snapToGrid w:val="0"/>
        <w:spacing w:line="360" w:lineRule="auto"/>
        <w:ind w:firstLine="482" w:firstLineChars="200"/>
        <w:rPr>
          <w:rFonts w:cs="宋体"/>
          <w:b/>
          <w:sz w:val="24"/>
          <w:szCs w:val="24"/>
        </w:rPr>
      </w:pPr>
      <w:r>
        <w:rPr>
          <w:rFonts w:hint="eastAsia" w:cs="宋体"/>
          <w:b/>
          <w:kern w:val="0"/>
          <w:sz w:val="24"/>
          <w:szCs w:val="24"/>
          <w:lang w:val="zh-CN"/>
        </w:rPr>
        <w:t>请投标供应商在报名前和制作响应文件时仔细研究项目需求说明。</w:t>
      </w:r>
    </w:p>
    <w:p w14:paraId="5AB3A113">
      <w:pPr>
        <w:numPr>
          <w:ilvl w:val="0"/>
          <w:numId w:val="1"/>
        </w:numPr>
        <w:adjustRightInd w:val="0"/>
        <w:snapToGrid w:val="0"/>
        <w:spacing w:line="360" w:lineRule="auto"/>
        <w:rPr>
          <w:rFonts w:cs="宋体"/>
          <w:b/>
          <w:sz w:val="24"/>
          <w:szCs w:val="24"/>
        </w:rPr>
      </w:pPr>
      <w:r>
        <w:rPr>
          <w:rFonts w:hint="eastAsia" w:cs="宋体"/>
          <w:b/>
          <w:sz w:val="24"/>
          <w:szCs w:val="24"/>
        </w:rPr>
        <w:t>项目需求内容</w:t>
      </w:r>
    </w:p>
    <w:tbl>
      <w:tblPr>
        <w:tblStyle w:val="25"/>
        <w:tblW w:w="0" w:type="auto"/>
        <w:jc w:val="center"/>
        <w:tblLayout w:type="fixed"/>
        <w:tblCellMar>
          <w:top w:w="0" w:type="dxa"/>
          <w:left w:w="108" w:type="dxa"/>
          <w:bottom w:w="0" w:type="dxa"/>
          <w:right w:w="108" w:type="dxa"/>
        </w:tblCellMar>
      </w:tblPr>
      <w:tblGrid>
        <w:gridCol w:w="840"/>
        <w:gridCol w:w="4165"/>
        <w:gridCol w:w="1080"/>
        <w:gridCol w:w="1200"/>
        <w:gridCol w:w="1899"/>
      </w:tblGrid>
      <w:tr w14:paraId="1600D0F4">
        <w:tblPrEx>
          <w:tblCellMar>
            <w:top w:w="0" w:type="dxa"/>
            <w:left w:w="108" w:type="dxa"/>
            <w:bottom w:w="0" w:type="dxa"/>
            <w:right w:w="108" w:type="dxa"/>
          </w:tblCellMar>
        </w:tblPrEx>
        <w:trPr>
          <w:trHeight w:val="584" w:hRule="atLeast"/>
          <w:jc w:val="center"/>
        </w:trPr>
        <w:tc>
          <w:tcPr>
            <w:tcW w:w="9184" w:type="dxa"/>
            <w:gridSpan w:val="5"/>
            <w:tcBorders>
              <w:top w:val="single" w:color="auto" w:sz="4" w:space="0"/>
              <w:left w:val="single" w:color="auto" w:sz="4" w:space="0"/>
              <w:bottom w:val="single" w:color="auto" w:sz="4" w:space="0"/>
              <w:right w:val="single" w:color="auto" w:sz="4" w:space="0"/>
            </w:tcBorders>
            <w:noWrap w:val="0"/>
            <w:vAlign w:val="center"/>
          </w:tcPr>
          <w:p w14:paraId="74B18CFD">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lang w:eastAsia="zh-CN"/>
              </w:rPr>
              <w:t>消防系统改造</w:t>
            </w:r>
            <w:r>
              <w:rPr>
                <w:rFonts w:hint="eastAsia" w:ascii="宋体" w:hAnsi="宋体" w:cs="宋体"/>
                <w:b/>
                <w:bCs/>
                <w:color w:val="000000"/>
                <w:kern w:val="0"/>
                <w:sz w:val="28"/>
                <w:szCs w:val="28"/>
              </w:rPr>
              <w:t>项目清单</w:t>
            </w:r>
          </w:p>
        </w:tc>
      </w:tr>
      <w:tr w14:paraId="69A8934E">
        <w:tblPrEx>
          <w:tblCellMar>
            <w:top w:w="0" w:type="dxa"/>
            <w:left w:w="108" w:type="dxa"/>
            <w:bottom w:w="0" w:type="dxa"/>
            <w:right w:w="108" w:type="dxa"/>
          </w:tblCellMar>
        </w:tblPrEx>
        <w:trPr>
          <w:trHeight w:val="622" w:hRule="atLeast"/>
          <w:jc w:val="center"/>
        </w:trPr>
        <w:tc>
          <w:tcPr>
            <w:tcW w:w="840" w:type="dxa"/>
            <w:tcBorders>
              <w:top w:val="nil"/>
              <w:left w:val="single" w:color="auto" w:sz="4" w:space="0"/>
              <w:bottom w:val="single" w:color="auto" w:sz="4" w:space="0"/>
              <w:right w:val="single" w:color="auto" w:sz="4" w:space="0"/>
            </w:tcBorders>
            <w:noWrap w:val="0"/>
            <w:vAlign w:val="center"/>
          </w:tcPr>
          <w:p w14:paraId="0F665D5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4165" w:type="dxa"/>
            <w:tcBorders>
              <w:top w:val="nil"/>
              <w:left w:val="nil"/>
              <w:bottom w:val="single" w:color="auto" w:sz="4" w:space="0"/>
              <w:right w:val="single" w:color="auto" w:sz="4" w:space="0"/>
            </w:tcBorders>
            <w:noWrap w:val="0"/>
            <w:vAlign w:val="center"/>
          </w:tcPr>
          <w:p w14:paraId="0C92EA0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 目</w:t>
            </w:r>
          </w:p>
        </w:tc>
        <w:tc>
          <w:tcPr>
            <w:tcW w:w="1080" w:type="dxa"/>
            <w:tcBorders>
              <w:top w:val="nil"/>
              <w:left w:val="nil"/>
              <w:bottom w:val="single" w:color="auto" w:sz="4" w:space="0"/>
              <w:right w:val="single" w:color="auto" w:sz="4" w:space="0"/>
            </w:tcBorders>
            <w:noWrap w:val="0"/>
            <w:vAlign w:val="center"/>
          </w:tcPr>
          <w:p w14:paraId="2CED4ED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数量</w:t>
            </w:r>
          </w:p>
        </w:tc>
        <w:tc>
          <w:tcPr>
            <w:tcW w:w="1200" w:type="dxa"/>
            <w:tcBorders>
              <w:top w:val="nil"/>
              <w:left w:val="nil"/>
              <w:bottom w:val="single" w:color="auto" w:sz="4" w:space="0"/>
              <w:right w:val="single" w:color="auto" w:sz="4" w:space="0"/>
            </w:tcBorders>
            <w:noWrap w:val="0"/>
            <w:vAlign w:val="center"/>
          </w:tcPr>
          <w:p w14:paraId="6DC0A65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单位</w:t>
            </w:r>
          </w:p>
        </w:tc>
        <w:tc>
          <w:tcPr>
            <w:tcW w:w="1899" w:type="dxa"/>
            <w:tcBorders>
              <w:top w:val="nil"/>
              <w:left w:val="nil"/>
              <w:bottom w:val="single" w:color="auto" w:sz="4" w:space="0"/>
              <w:right w:val="single" w:color="auto" w:sz="4" w:space="0"/>
            </w:tcBorders>
            <w:noWrap w:val="0"/>
            <w:vAlign w:val="center"/>
          </w:tcPr>
          <w:p w14:paraId="6AC1D19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备注</w:t>
            </w:r>
          </w:p>
        </w:tc>
      </w:tr>
      <w:tr w14:paraId="4C0B1648">
        <w:tblPrEx>
          <w:tblCellMar>
            <w:top w:w="0" w:type="dxa"/>
            <w:left w:w="108" w:type="dxa"/>
            <w:bottom w:w="0" w:type="dxa"/>
            <w:right w:w="108" w:type="dxa"/>
          </w:tblCellMar>
        </w:tblPrEx>
        <w:trPr>
          <w:trHeight w:val="502" w:hRule="atLeast"/>
          <w:jc w:val="center"/>
        </w:trPr>
        <w:tc>
          <w:tcPr>
            <w:tcW w:w="840" w:type="dxa"/>
            <w:tcBorders>
              <w:top w:val="nil"/>
              <w:left w:val="single" w:color="auto" w:sz="4" w:space="0"/>
              <w:bottom w:val="single" w:color="auto" w:sz="4" w:space="0"/>
              <w:right w:val="single" w:color="auto" w:sz="4" w:space="0"/>
            </w:tcBorders>
            <w:noWrap w:val="0"/>
            <w:vAlign w:val="center"/>
          </w:tcPr>
          <w:p w14:paraId="46AFF17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4165" w:type="dxa"/>
            <w:tcBorders>
              <w:top w:val="nil"/>
              <w:left w:val="nil"/>
              <w:bottom w:val="single" w:color="auto" w:sz="4" w:space="0"/>
              <w:right w:val="single" w:color="auto" w:sz="4" w:space="0"/>
            </w:tcBorders>
            <w:noWrap w:val="0"/>
            <w:vAlign w:val="center"/>
          </w:tcPr>
          <w:p w14:paraId="5DBF33D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甲级防火门</w:t>
            </w:r>
          </w:p>
        </w:tc>
        <w:tc>
          <w:tcPr>
            <w:tcW w:w="1080" w:type="dxa"/>
            <w:tcBorders>
              <w:top w:val="nil"/>
              <w:left w:val="nil"/>
              <w:bottom w:val="single" w:color="auto" w:sz="4" w:space="0"/>
              <w:right w:val="single" w:color="auto" w:sz="4" w:space="0"/>
            </w:tcBorders>
            <w:noWrap w:val="0"/>
            <w:vAlign w:val="center"/>
          </w:tcPr>
          <w:p w14:paraId="1C1687E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1200" w:type="dxa"/>
            <w:tcBorders>
              <w:top w:val="nil"/>
              <w:left w:val="nil"/>
              <w:bottom w:val="single" w:color="auto" w:sz="4" w:space="0"/>
              <w:right w:val="single" w:color="auto" w:sz="4" w:space="0"/>
            </w:tcBorders>
            <w:noWrap w:val="0"/>
            <w:vAlign w:val="center"/>
          </w:tcPr>
          <w:p w14:paraId="6D0960E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樘</w:t>
            </w:r>
          </w:p>
        </w:tc>
        <w:tc>
          <w:tcPr>
            <w:tcW w:w="1899" w:type="dxa"/>
            <w:tcBorders>
              <w:top w:val="nil"/>
              <w:left w:val="nil"/>
              <w:bottom w:val="single" w:color="auto" w:sz="4" w:space="0"/>
              <w:right w:val="single" w:color="auto" w:sz="4" w:space="0"/>
            </w:tcBorders>
            <w:noWrap w:val="0"/>
            <w:vAlign w:val="center"/>
          </w:tcPr>
          <w:p w14:paraId="15F028B2">
            <w:pPr>
              <w:widowControl/>
              <w:jc w:val="center"/>
              <w:rPr>
                <w:rFonts w:hint="eastAsia" w:ascii="宋体" w:hAnsi="宋体" w:cs="宋体"/>
                <w:color w:val="000000"/>
                <w:kern w:val="0"/>
                <w:sz w:val="24"/>
                <w:szCs w:val="24"/>
              </w:rPr>
            </w:pPr>
          </w:p>
        </w:tc>
      </w:tr>
      <w:tr w14:paraId="36DE295C">
        <w:tblPrEx>
          <w:tblCellMar>
            <w:top w:w="0" w:type="dxa"/>
            <w:left w:w="108" w:type="dxa"/>
            <w:bottom w:w="0" w:type="dxa"/>
            <w:right w:w="108" w:type="dxa"/>
          </w:tblCellMar>
        </w:tblPrEx>
        <w:trPr>
          <w:trHeight w:val="487" w:hRule="atLeast"/>
          <w:jc w:val="center"/>
        </w:trPr>
        <w:tc>
          <w:tcPr>
            <w:tcW w:w="840" w:type="dxa"/>
            <w:tcBorders>
              <w:top w:val="nil"/>
              <w:left w:val="single" w:color="auto" w:sz="4" w:space="0"/>
              <w:bottom w:val="single" w:color="auto" w:sz="4" w:space="0"/>
              <w:right w:val="single" w:color="auto" w:sz="4" w:space="0"/>
            </w:tcBorders>
            <w:noWrap w:val="0"/>
            <w:vAlign w:val="center"/>
          </w:tcPr>
          <w:p w14:paraId="2351573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4165" w:type="dxa"/>
            <w:tcBorders>
              <w:top w:val="nil"/>
              <w:left w:val="nil"/>
              <w:bottom w:val="single" w:color="auto" w:sz="4" w:space="0"/>
              <w:right w:val="single" w:color="auto" w:sz="4" w:space="0"/>
            </w:tcBorders>
            <w:noWrap w:val="0"/>
            <w:vAlign w:val="center"/>
          </w:tcPr>
          <w:p w14:paraId="4B66157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乙级防火窗</w:t>
            </w:r>
          </w:p>
        </w:tc>
        <w:tc>
          <w:tcPr>
            <w:tcW w:w="1080" w:type="dxa"/>
            <w:tcBorders>
              <w:top w:val="nil"/>
              <w:left w:val="nil"/>
              <w:bottom w:val="single" w:color="auto" w:sz="4" w:space="0"/>
              <w:right w:val="single" w:color="auto" w:sz="4" w:space="0"/>
            </w:tcBorders>
            <w:noWrap w:val="0"/>
            <w:vAlign w:val="center"/>
          </w:tcPr>
          <w:p w14:paraId="3D8FDFE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25</w:t>
            </w:r>
          </w:p>
        </w:tc>
        <w:tc>
          <w:tcPr>
            <w:tcW w:w="1200" w:type="dxa"/>
            <w:tcBorders>
              <w:top w:val="nil"/>
              <w:left w:val="nil"/>
              <w:bottom w:val="single" w:color="auto" w:sz="4" w:space="0"/>
              <w:right w:val="single" w:color="auto" w:sz="4" w:space="0"/>
            </w:tcBorders>
            <w:noWrap w:val="0"/>
            <w:vAlign w:val="center"/>
          </w:tcPr>
          <w:p w14:paraId="13ACB8A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扇</w:t>
            </w:r>
          </w:p>
        </w:tc>
        <w:tc>
          <w:tcPr>
            <w:tcW w:w="1899" w:type="dxa"/>
            <w:tcBorders>
              <w:top w:val="nil"/>
              <w:left w:val="nil"/>
              <w:bottom w:val="single" w:color="auto" w:sz="4" w:space="0"/>
              <w:right w:val="single" w:color="auto" w:sz="4" w:space="0"/>
            </w:tcBorders>
            <w:noWrap w:val="0"/>
            <w:vAlign w:val="center"/>
          </w:tcPr>
          <w:p w14:paraId="29E4E100">
            <w:pPr>
              <w:widowControl/>
              <w:jc w:val="center"/>
              <w:rPr>
                <w:rFonts w:hint="eastAsia" w:ascii="宋体" w:hAnsi="宋体" w:cs="宋体"/>
                <w:bCs/>
                <w:color w:val="000000"/>
                <w:kern w:val="0"/>
                <w:sz w:val="24"/>
                <w:szCs w:val="24"/>
              </w:rPr>
            </w:pPr>
            <w:r>
              <w:rPr>
                <w:rFonts w:hint="eastAsia" w:cs="宋体"/>
                <w:bCs/>
                <w:sz w:val="24"/>
                <w:szCs w:val="24"/>
              </w:rPr>
              <w:t>防火玻璃要求不发黄不变色</w:t>
            </w:r>
          </w:p>
        </w:tc>
      </w:tr>
      <w:tr w14:paraId="768A3E37">
        <w:tblPrEx>
          <w:tblCellMar>
            <w:top w:w="0" w:type="dxa"/>
            <w:left w:w="108" w:type="dxa"/>
            <w:bottom w:w="0" w:type="dxa"/>
            <w:right w:w="108" w:type="dxa"/>
          </w:tblCellMar>
        </w:tblPrEx>
        <w:trPr>
          <w:trHeight w:val="502" w:hRule="atLeast"/>
          <w:jc w:val="center"/>
        </w:trPr>
        <w:tc>
          <w:tcPr>
            <w:tcW w:w="840" w:type="dxa"/>
            <w:tcBorders>
              <w:top w:val="nil"/>
              <w:left w:val="single" w:color="auto" w:sz="4" w:space="0"/>
              <w:bottom w:val="single" w:color="auto" w:sz="4" w:space="0"/>
              <w:right w:val="single" w:color="auto" w:sz="4" w:space="0"/>
            </w:tcBorders>
            <w:noWrap w:val="0"/>
            <w:vAlign w:val="center"/>
          </w:tcPr>
          <w:p w14:paraId="3B22CAD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4165" w:type="dxa"/>
            <w:tcBorders>
              <w:top w:val="nil"/>
              <w:left w:val="nil"/>
              <w:bottom w:val="single" w:color="auto" w:sz="4" w:space="0"/>
              <w:right w:val="single" w:color="auto" w:sz="4" w:space="0"/>
            </w:tcBorders>
            <w:noWrap w:val="0"/>
            <w:vAlign w:val="center"/>
          </w:tcPr>
          <w:p w14:paraId="1BD004F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消防专线电话</w:t>
            </w:r>
          </w:p>
        </w:tc>
        <w:tc>
          <w:tcPr>
            <w:tcW w:w="1080" w:type="dxa"/>
            <w:tcBorders>
              <w:top w:val="nil"/>
              <w:left w:val="nil"/>
              <w:bottom w:val="single" w:color="auto" w:sz="4" w:space="0"/>
              <w:right w:val="single" w:color="auto" w:sz="4" w:space="0"/>
            </w:tcBorders>
            <w:noWrap w:val="0"/>
            <w:vAlign w:val="center"/>
          </w:tcPr>
          <w:p w14:paraId="0DBB574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1200" w:type="dxa"/>
            <w:tcBorders>
              <w:top w:val="nil"/>
              <w:left w:val="nil"/>
              <w:bottom w:val="single" w:color="auto" w:sz="4" w:space="0"/>
              <w:right w:val="single" w:color="auto" w:sz="4" w:space="0"/>
            </w:tcBorders>
            <w:noWrap w:val="0"/>
            <w:vAlign w:val="center"/>
          </w:tcPr>
          <w:p w14:paraId="0E1B794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只</w:t>
            </w:r>
          </w:p>
        </w:tc>
        <w:tc>
          <w:tcPr>
            <w:tcW w:w="1899" w:type="dxa"/>
            <w:tcBorders>
              <w:top w:val="nil"/>
              <w:left w:val="nil"/>
              <w:bottom w:val="single" w:color="auto" w:sz="4" w:space="0"/>
              <w:right w:val="single" w:color="auto" w:sz="4" w:space="0"/>
            </w:tcBorders>
            <w:noWrap w:val="0"/>
            <w:vAlign w:val="center"/>
          </w:tcPr>
          <w:p w14:paraId="488DAF95">
            <w:pPr>
              <w:widowControl/>
              <w:jc w:val="center"/>
              <w:rPr>
                <w:rFonts w:hint="eastAsia" w:ascii="宋体" w:hAnsi="宋体" w:cs="宋体"/>
                <w:color w:val="000000"/>
                <w:kern w:val="0"/>
                <w:sz w:val="24"/>
                <w:szCs w:val="24"/>
              </w:rPr>
            </w:pPr>
          </w:p>
        </w:tc>
      </w:tr>
      <w:tr w14:paraId="088F525B">
        <w:tblPrEx>
          <w:tblCellMar>
            <w:top w:w="0" w:type="dxa"/>
            <w:left w:w="108" w:type="dxa"/>
            <w:bottom w:w="0" w:type="dxa"/>
            <w:right w:w="108" w:type="dxa"/>
          </w:tblCellMar>
        </w:tblPrEx>
        <w:trPr>
          <w:trHeight w:val="487" w:hRule="atLeast"/>
          <w:jc w:val="center"/>
        </w:trPr>
        <w:tc>
          <w:tcPr>
            <w:tcW w:w="840" w:type="dxa"/>
            <w:tcBorders>
              <w:top w:val="nil"/>
              <w:left w:val="single" w:color="auto" w:sz="4" w:space="0"/>
              <w:bottom w:val="single" w:color="auto" w:sz="4" w:space="0"/>
              <w:right w:val="single" w:color="auto" w:sz="4" w:space="0"/>
            </w:tcBorders>
            <w:noWrap w:val="0"/>
            <w:vAlign w:val="center"/>
          </w:tcPr>
          <w:p w14:paraId="6167772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4165" w:type="dxa"/>
            <w:tcBorders>
              <w:top w:val="nil"/>
              <w:left w:val="nil"/>
              <w:bottom w:val="single" w:color="auto" w:sz="4" w:space="0"/>
              <w:right w:val="single" w:color="auto" w:sz="4" w:space="0"/>
            </w:tcBorders>
            <w:noWrap w:val="0"/>
            <w:vAlign w:val="center"/>
          </w:tcPr>
          <w:p w14:paraId="3D64365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消防专线线路到控制室</w:t>
            </w:r>
          </w:p>
        </w:tc>
        <w:tc>
          <w:tcPr>
            <w:tcW w:w="1080" w:type="dxa"/>
            <w:tcBorders>
              <w:top w:val="nil"/>
              <w:left w:val="nil"/>
              <w:bottom w:val="single" w:color="auto" w:sz="4" w:space="0"/>
              <w:right w:val="single" w:color="auto" w:sz="4" w:space="0"/>
            </w:tcBorders>
            <w:noWrap w:val="0"/>
            <w:vAlign w:val="center"/>
          </w:tcPr>
          <w:p w14:paraId="732D659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1200" w:type="dxa"/>
            <w:tcBorders>
              <w:top w:val="nil"/>
              <w:left w:val="nil"/>
              <w:bottom w:val="single" w:color="auto" w:sz="4" w:space="0"/>
              <w:right w:val="single" w:color="auto" w:sz="4" w:space="0"/>
            </w:tcBorders>
            <w:noWrap w:val="0"/>
            <w:vAlign w:val="center"/>
          </w:tcPr>
          <w:p w14:paraId="4403AA2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1899" w:type="dxa"/>
            <w:tcBorders>
              <w:top w:val="nil"/>
              <w:left w:val="nil"/>
              <w:bottom w:val="single" w:color="auto" w:sz="4" w:space="0"/>
              <w:right w:val="single" w:color="auto" w:sz="4" w:space="0"/>
            </w:tcBorders>
            <w:noWrap w:val="0"/>
            <w:vAlign w:val="center"/>
          </w:tcPr>
          <w:p w14:paraId="33A339B4">
            <w:pPr>
              <w:widowControl/>
              <w:jc w:val="center"/>
              <w:rPr>
                <w:rFonts w:hint="eastAsia" w:ascii="宋体" w:hAnsi="宋体" w:cs="宋体"/>
                <w:color w:val="000000"/>
                <w:kern w:val="0"/>
                <w:sz w:val="24"/>
                <w:szCs w:val="24"/>
              </w:rPr>
            </w:pPr>
          </w:p>
        </w:tc>
      </w:tr>
      <w:tr w14:paraId="2FB3A158">
        <w:tblPrEx>
          <w:tblCellMar>
            <w:top w:w="0" w:type="dxa"/>
            <w:left w:w="108" w:type="dxa"/>
            <w:bottom w:w="0" w:type="dxa"/>
            <w:right w:w="108" w:type="dxa"/>
          </w:tblCellMar>
        </w:tblPrEx>
        <w:trPr>
          <w:trHeight w:val="487" w:hRule="atLeast"/>
          <w:jc w:val="center"/>
        </w:trPr>
        <w:tc>
          <w:tcPr>
            <w:tcW w:w="840" w:type="dxa"/>
            <w:tcBorders>
              <w:top w:val="nil"/>
              <w:left w:val="single" w:color="auto" w:sz="4" w:space="0"/>
              <w:bottom w:val="single" w:color="auto" w:sz="4" w:space="0"/>
              <w:right w:val="single" w:color="auto" w:sz="4" w:space="0"/>
            </w:tcBorders>
            <w:noWrap w:val="0"/>
            <w:vAlign w:val="center"/>
          </w:tcPr>
          <w:p w14:paraId="1B9D8EA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4165" w:type="dxa"/>
            <w:tcBorders>
              <w:top w:val="nil"/>
              <w:left w:val="nil"/>
              <w:bottom w:val="single" w:color="auto" w:sz="4" w:space="0"/>
              <w:right w:val="single" w:color="auto" w:sz="4" w:space="0"/>
            </w:tcBorders>
            <w:noWrap w:val="0"/>
            <w:vAlign w:val="center"/>
          </w:tcPr>
          <w:p w14:paraId="557BB10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消防广播</w:t>
            </w:r>
          </w:p>
        </w:tc>
        <w:tc>
          <w:tcPr>
            <w:tcW w:w="1080" w:type="dxa"/>
            <w:tcBorders>
              <w:top w:val="nil"/>
              <w:left w:val="nil"/>
              <w:bottom w:val="single" w:color="auto" w:sz="4" w:space="0"/>
              <w:right w:val="single" w:color="auto" w:sz="4" w:space="0"/>
            </w:tcBorders>
            <w:noWrap w:val="0"/>
            <w:vAlign w:val="center"/>
          </w:tcPr>
          <w:p w14:paraId="1AA366B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1200" w:type="dxa"/>
            <w:tcBorders>
              <w:top w:val="nil"/>
              <w:left w:val="nil"/>
              <w:bottom w:val="single" w:color="auto" w:sz="4" w:space="0"/>
              <w:right w:val="single" w:color="auto" w:sz="4" w:space="0"/>
            </w:tcBorders>
            <w:noWrap w:val="0"/>
            <w:vAlign w:val="center"/>
          </w:tcPr>
          <w:p w14:paraId="6D41E59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只</w:t>
            </w:r>
          </w:p>
        </w:tc>
        <w:tc>
          <w:tcPr>
            <w:tcW w:w="1899" w:type="dxa"/>
            <w:tcBorders>
              <w:top w:val="nil"/>
              <w:left w:val="nil"/>
              <w:bottom w:val="single" w:color="auto" w:sz="4" w:space="0"/>
              <w:right w:val="single" w:color="auto" w:sz="4" w:space="0"/>
            </w:tcBorders>
            <w:noWrap w:val="0"/>
            <w:vAlign w:val="center"/>
          </w:tcPr>
          <w:p w14:paraId="74F6BA39">
            <w:pPr>
              <w:widowControl/>
              <w:jc w:val="center"/>
              <w:rPr>
                <w:rFonts w:hint="eastAsia" w:ascii="宋体" w:hAnsi="宋体" w:cs="宋体"/>
                <w:color w:val="000000"/>
                <w:kern w:val="0"/>
                <w:sz w:val="24"/>
                <w:szCs w:val="24"/>
              </w:rPr>
            </w:pPr>
          </w:p>
        </w:tc>
      </w:tr>
      <w:tr w14:paraId="38863E95">
        <w:tblPrEx>
          <w:tblCellMar>
            <w:top w:w="0" w:type="dxa"/>
            <w:left w:w="108" w:type="dxa"/>
            <w:bottom w:w="0" w:type="dxa"/>
            <w:right w:w="108" w:type="dxa"/>
          </w:tblCellMar>
        </w:tblPrEx>
        <w:trPr>
          <w:trHeight w:val="442" w:hRule="atLeast"/>
          <w:jc w:val="center"/>
        </w:trPr>
        <w:tc>
          <w:tcPr>
            <w:tcW w:w="840" w:type="dxa"/>
            <w:tcBorders>
              <w:top w:val="nil"/>
              <w:left w:val="single" w:color="auto" w:sz="4" w:space="0"/>
              <w:bottom w:val="single" w:color="auto" w:sz="4" w:space="0"/>
              <w:right w:val="single" w:color="auto" w:sz="4" w:space="0"/>
            </w:tcBorders>
            <w:noWrap w:val="0"/>
            <w:vAlign w:val="center"/>
          </w:tcPr>
          <w:p w14:paraId="364C750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4165" w:type="dxa"/>
            <w:tcBorders>
              <w:top w:val="nil"/>
              <w:left w:val="nil"/>
              <w:bottom w:val="single" w:color="auto" w:sz="4" w:space="0"/>
              <w:right w:val="single" w:color="auto" w:sz="4" w:space="0"/>
            </w:tcBorders>
            <w:noWrap w:val="0"/>
            <w:vAlign w:val="center"/>
          </w:tcPr>
          <w:p w14:paraId="77EC0D3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消防广播电缆线</w:t>
            </w:r>
          </w:p>
        </w:tc>
        <w:tc>
          <w:tcPr>
            <w:tcW w:w="1080" w:type="dxa"/>
            <w:tcBorders>
              <w:top w:val="nil"/>
              <w:left w:val="nil"/>
              <w:bottom w:val="single" w:color="auto" w:sz="4" w:space="0"/>
              <w:right w:val="single" w:color="auto" w:sz="4" w:space="0"/>
            </w:tcBorders>
            <w:noWrap w:val="0"/>
            <w:vAlign w:val="center"/>
          </w:tcPr>
          <w:p w14:paraId="2EBDDC3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1200" w:type="dxa"/>
            <w:tcBorders>
              <w:top w:val="nil"/>
              <w:left w:val="nil"/>
              <w:bottom w:val="single" w:color="auto" w:sz="4" w:space="0"/>
              <w:right w:val="single" w:color="auto" w:sz="4" w:space="0"/>
            </w:tcBorders>
            <w:noWrap w:val="0"/>
            <w:vAlign w:val="center"/>
          </w:tcPr>
          <w:p w14:paraId="0168FCE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1899" w:type="dxa"/>
            <w:tcBorders>
              <w:top w:val="nil"/>
              <w:left w:val="nil"/>
              <w:bottom w:val="single" w:color="auto" w:sz="4" w:space="0"/>
              <w:right w:val="single" w:color="auto" w:sz="4" w:space="0"/>
            </w:tcBorders>
            <w:noWrap w:val="0"/>
            <w:vAlign w:val="center"/>
          </w:tcPr>
          <w:p w14:paraId="3774FA77">
            <w:pPr>
              <w:widowControl/>
              <w:jc w:val="center"/>
              <w:rPr>
                <w:rFonts w:hint="eastAsia" w:ascii="宋体" w:hAnsi="宋体" w:cs="宋体"/>
                <w:color w:val="000000"/>
                <w:kern w:val="0"/>
                <w:sz w:val="24"/>
                <w:szCs w:val="24"/>
              </w:rPr>
            </w:pPr>
          </w:p>
        </w:tc>
      </w:tr>
      <w:tr w14:paraId="40FACB10">
        <w:tblPrEx>
          <w:tblCellMar>
            <w:top w:w="0" w:type="dxa"/>
            <w:left w:w="108" w:type="dxa"/>
            <w:bottom w:w="0" w:type="dxa"/>
            <w:right w:w="108" w:type="dxa"/>
          </w:tblCellMar>
        </w:tblPrEx>
        <w:trPr>
          <w:trHeight w:val="532" w:hRule="atLeast"/>
          <w:jc w:val="center"/>
        </w:trPr>
        <w:tc>
          <w:tcPr>
            <w:tcW w:w="840" w:type="dxa"/>
            <w:tcBorders>
              <w:top w:val="nil"/>
              <w:left w:val="single" w:color="auto" w:sz="4" w:space="0"/>
              <w:bottom w:val="single" w:color="auto" w:sz="4" w:space="0"/>
              <w:right w:val="single" w:color="auto" w:sz="4" w:space="0"/>
            </w:tcBorders>
            <w:noWrap w:val="0"/>
            <w:vAlign w:val="center"/>
          </w:tcPr>
          <w:p w14:paraId="123FE29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4165" w:type="dxa"/>
            <w:tcBorders>
              <w:top w:val="nil"/>
              <w:left w:val="nil"/>
              <w:bottom w:val="single" w:color="auto" w:sz="4" w:space="0"/>
              <w:right w:val="single" w:color="auto" w:sz="4" w:space="0"/>
            </w:tcBorders>
            <w:noWrap w:val="0"/>
            <w:vAlign w:val="center"/>
          </w:tcPr>
          <w:p w14:paraId="614912D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消防电源、普通电源</w:t>
            </w:r>
          </w:p>
        </w:tc>
        <w:tc>
          <w:tcPr>
            <w:tcW w:w="1080" w:type="dxa"/>
            <w:tcBorders>
              <w:top w:val="nil"/>
              <w:left w:val="nil"/>
              <w:bottom w:val="single" w:color="auto" w:sz="4" w:space="0"/>
              <w:right w:val="single" w:color="auto" w:sz="4" w:space="0"/>
            </w:tcBorders>
            <w:noWrap w:val="0"/>
            <w:vAlign w:val="center"/>
          </w:tcPr>
          <w:p w14:paraId="1F56129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1200" w:type="dxa"/>
            <w:tcBorders>
              <w:top w:val="nil"/>
              <w:left w:val="nil"/>
              <w:bottom w:val="single" w:color="auto" w:sz="4" w:space="0"/>
              <w:right w:val="single" w:color="auto" w:sz="4" w:space="0"/>
            </w:tcBorders>
            <w:noWrap w:val="0"/>
            <w:vAlign w:val="center"/>
          </w:tcPr>
          <w:p w14:paraId="3B15FFF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1899" w:type="dxa"/>
            <w:tcBorders>
              <w:top w:val="nil"/>
              <w:left w:val="nil"/>
              <w:bottom w:val="single" w:color="auto" w:sz="4" w:space="0"/>
              <w:right w:val="single" w:color="auto" w:sz="4" w:space="0"/>
            </w:tcBorders>
            <w:noWrap w:val="0"/>
            <w:vAlign w:val="center"/>
          </w:tcPr>
          <w:p w14:paraId="1D0902B6">
            <w:pPr>
              <w:widowControl/>
              <w:jc w:val="center"/>
              <w:rPr>
                <w:rFonts w:hint="eastAsia" w:ascii="宋体" w:hAnsi="宋体" w:cs="宋体"/>
                <w:color w:val="000000"/>
                <w:kern w:val="0"/>
                <w:sz w:val="24"/>
                <w:szCs w:val="24"/>
              </w:rPr>
            </w:pPr>
          </w:p>
        </w:tc>
      </w:tr>
      <w:tr w14:paraId="0AF80F37">
        <w:tblPrEx>
          <w:tblCellMar>
            <w:top w:w="0" w:type="dxa"/>
            <w:left w:w="108" w:type="dxa"/>
            <w:bottom w:w="0" w:type="dxa"/>
            <w:right w:w="108" w:type="dxa"/>
          </w:tblCellMar>
        </w:tblPrEx>
        <w:trPr>
          <w:trHeight w:val="532" w:hRule="atLeast"/>
          <w:jc w:val="center"/>
        </w:trPr>
        <w:tc>
          <w:tcPr>
            <w:tcW w:w="840" w:type="dxa"/>
            <w:tcBorders>
              <w:top w:val="nil"/>
              <w:left w:val="single" w:color="auto" w:sz="4" w:space="0"/>
              <w:bottom w:val="single" w:color="auto" w:sz="4" w:space="0"/>
              <w:right w:val="single" w:color="auto" w:sz="4" w:space="0"/>
            </w:tcBorders>
            <w:noWrap w:val="0"/>
            <w:vAlign w:val="center"/>
          </w:tcPr>
          <w:p w14:paraId="7405071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4165" w:type="dxa"/>
            <w:tcBorders>
              <w:top w:val="nil"/>
              <w:left w:val="nil"/>
              <w:bottom w:val="single" w:color="auto" w:sz="4" w:space="0"/>
              <w:right w:val="single" w:color="auto" w:sz="4" w:space="0"/>
            </w:tcBorders>
            <w:noWrap w:val="0"/>
            <w:vAlign w:val="center"/>
          </w:tcPr>
          <w:p w14:paraId="10C050B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窗户玻璃更换安装（钢化玻璃）</w:t>
            </w:r>
          </w:p>
        </w:tc>
        <w:tc>
          <w:tcPr>
            <w:tcW w:w="1080" w:type="dxa"/>
            <w:tcBorders>
              <w:top w:val="nil"/>
              <w:left w:val="nil"/>
              <w:bottom w:val="single" w:color="auto" w:sz="4" w:space="0"/>
              <w:right w:val="single" w:color="auto" w:sz="4" w:space="0"/>
            </w:tcBorders>
            <w:noWrap w:val="0"/>
            <w:vAlign w:val="center"/>
          </w:tcPr>
          <w:p w14:paraId="0792E1C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80</w:t>
            </w:r>
          </w:p>
        </w:tc>
        <w:tc>
          <w:tcPr>
            <w:tcW w:w="1200" w:type="dxa"/>
            <w:tcBorders>
              <w:top w:val="nil"/>
              <w:left w:val="nil"/>
              <w:bottom w:val="single" w:color="auto" w:sz="4" w:space="0"/>
              <w:right w:val="single" w:color="auto" w:sz="4" w:space="0"/>
            </w:tcBorders>
            <w:noWrap w:val="0"/>
            <w:vAlign w:val="center"/>
          </w:tcPr>
          <w:p w14:paraId="443E8D2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块</w:t>
            </w:r>
          </w:p>
        </w:tc>
        <w:tc>
          <w:tcPr>
            <w:tcW w:w="1899" w:type="dxa"/>
            <w:tcBorders>
              <w:top w:val="nil"/>
              <w:left w:val="nil"/>
              <w:bottom w:val="single" w:color="auto" w:sz="4" w:space="0"/>
              <w:right w:val="single" w:color="auto" w:sz="4" w:space="0"/>
            </w:tcBorders>
            <w:noWrap w:val="0"/>
            <w:vAlign w:val="center"/>
          </w:tcPr>
          <w:p w14:paraId="310F115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需现场测量</w:t>
            </w:r>
          </w:p>
        </w:tc>
      </w:tr>
      <w:tr w14:paraId="3D89D82F">
        <w:tblPrEx>
          <w:tblCellMar>
            <w:top w:w="0" w:type="dxa"/>
            <w:left w:w="108" w:type="dxa"/>
            <w:bottom w:w="0" w:type="dxa"/>
            <w:right w:w="108" w:type="dxa"/>
          </w:tblCellMar>
        </w:tblPrEx>
        <w:trPr>
          <w:trHeight w:val="487" w:hRule="atLeast"/>
          <w:jc w:val="center"/>
        </w:trPr>
        <w:tc>
          <w:tcPr>
            <w:tcW w:w="840" w:type="dxa"/>
            <w:tcBorders>
              <w:top w:val="nil"/>
              <w:left w:val="single" w:color="auto" w:sz="4" w:space="0"/>
              <w:bottom w:val="single" w:color="auto" w:sz="4" w:space="0"/>
              <w:right w:val="single" w:color="auto" w:sz="4" w:space="0"/>
            </w:tcBorders>
            <w:noWrap w:val="0"/>
            <w:vAlign w:val="center"/>
          </w:tcPr>
          <w:p w14:paraId="5876DB9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4165" w:type="dxa"/>
            <w:tcBorders>
              <w:top w:val="nil"/>
              <w:left w:val="nil"/>
              <w:bottom w:val="single" w:color="auto" w:sz="4" w:space="0"/>
              <w:right w:val="single" w:color="auto" w:sz="4" w:space="0"/>
            </w:tcBorders>
            <w:noWrap w:val="0"/>
            <w:vAlign w:val="center"/>
          </w:tcPr>
          <w:p w14:paraId="173DC1F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系统调试</w:t>
            </w:r>
          </w:p>
        </w:tc>
        <w:tc>
          <w:tcPr>
            <w:tcW w:w="1080" w:type="dxa"/>
            <w:tcBorders>
              <w:top w:val="nil"/>
              <w:left w:val="nil"/>
              <w:bottom w:val="single" w:color="auto" w:sz="4" w:space="0"/>
              <w:right w:val="single" w:color="auto" w:sz="4" w:space="0"/>
            </w:tcBorders>
            <w:noWrap w:val="0"/>
            <w:vAlign w:val="center"/>
          </w:tcPr>
          <w:p w14:paraId="0F4F4B2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200" w:type="dxa"/>
            <w:tcBorders>
              <w:top w:val="nil"/>
              <w:left w:val="nil"/>
              <w:bottom w:val="single" w:color="auto" w:sz="4" w:space="0"/>
              <w:right w:val="single" w:color="auto" w:sz="4" w:space="0"/>
            </w:tcBorders>
            <w:noWrap w:val="0"/>
            <w:vAlign w:val="center"/>
          </w:tcPr>
          <w:p w14:paraId="590EE96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1899" w:type="dxa"/>
            <w:tcBorders>
              <w:top w:val="nil"/>
              <w:left w:val="nil"/>
              <w:bottom w:val="single" w:color="auto" w:sz="4" w:space="0"/>
              <w:right w:val="single" w:color="auto" w:sz="4" w:space="0"/>
            </w:tcBorders>
            <w:noWrap w:val="0"/>
            <w:vAlign w:val="center"/>
          </w:tcPr>
          <w:p w14:paraId="5436335D">
            <w:pPr>
              <w:widowControl/>
              <w:jc w:val="center"/>
              <w:rPr>
                <w:rFonts w:hint="eastAsia" w:ascii="宋体" w:hAnsi="宋体" w:cs="宋体"/>
                <w:color w:val="000000"/>
                <w:kern w:val="0"/>
                <w:sz w:val="24"/>
                <w:szCs w:val="24"/>
              </w:rPr>
            </w:pPr>
          </w:p>
        </w:tc>
      </w:tr>
      <w:tr w14:paraId="70AFFCCB">
        <w:tblPrEx>
          <w:tblCellMar>
            <w:top w:w="0" w:type="dxa"/>
            <w:left w:w="108" w:type="dxa"/>
            <w:bottom w:w="0" w:type="dxa"/>
            <w:right w:w="108" w:type="dxa"/>
          </w:tblCellMar>
        </w:tblPrEx>
        <w:trPr>
          <w:trHeight w:val="622" w:hRule="atLeast"/>
          <w:jc w:val="center"/>
        </w:trPr>
        <w:tc>
          <w:tcPr>
            <w:tcW w:w="840" w:type="dxa"/>
            <w:tcBorders>
              <w:top w:val="nil"/>
              <w:left w:val="single" w:color="auto" w:sz="4" w:space="0"/>
              <w:bottom w:val="single" w:color="auto" w:sz="4" w:space="0"/>
              <w:right w:val="single" w:color="auto" w:sz="4" w:space="0"/>
            </w:tcBorders>
            <w:noWrap w:val="0"/>
            <w:vAlign w:val="center"/>
          </w:tcPr>
          <w:p w14:paraId="59920C3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10</w:t>
            </w:r>
          </w:p>
        </w:tc>
        <w:tc>
          <w:tcPr>
            <w:tcW w:w="4165" w:type="dxa"/>
            <w:tcBorders>
              <w:top w:val="nil"/>
              <w:left w:val="nil"/>
              <w:bottom w:val="single" w:color="auto" w:sz="4" w:space="0"/>
              <w:right w:val="single" w:color="auto" w:sz="4" w:space="0"/>
            </w:tcBorders>
            <w:noWrap w:val="0"/>
            <w:vAlign w:val="center"/>
          </w:tcPr>
          <w:p w14:paraId="314A503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现场机械、人工费、保险费</w:t>
            </w:r>
          </w:p>
        </w:tc>
        <w:tc>
          <w:tcPr>
            <w:tcW w:w="1080" w:type="dxa"/>
            <w:tcBorders>
              <w:top w:val="nil"/>
              <w:left w:val="nil"/>
              <w:bottom w:val="single" w:color="auto" w:sz="4" w:space="0"/>
              <w:right w:val="single" w:color="auto" w:sz="4" w:space="0"/>
            </w:tcBorders>
            <w:noWrap w:val="0"/>
            <w:vAlign w:val="center"/>
          </w:tcPr>
          <w:p w14:paraId="2C085F8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200" w:type="dxa"/>
            <w:tcBorders>
              <w:top w:val="nil"/>
              <w:left w:val="nil"/>
              <w:bottom w:val="single" w:color="auto" w:sz="4" w:space="0"/>
              <w:right w:val="single" w:color="auto" w:sz="4" w:space="0"/>
            </w:tcBorders>
            <w:noWrap w:val="0"/>
            <w:vAlign w:val="center"/>
          </w:tcPr>
          <w:p w14:paraId="21D157A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1899" w:type="dxa"/>
            <w:tcBorders>
              <w:top w:val="nil"/>
              <w:left w:val="nil"/>
              <w:bottom w:val="single" w:color="auto" w:sz="4" w:space="0"/>
              <w:right w:val="single" w:color="auto" w:sz="4" w:space="0"/>
            </w:tcBorders>
            <w:noWrap w:val="0"/>
            <w:vAlign w:val="center"/>
          </w:tcPr>
          <w:p w14:paraId="39465BD4">
            <w:pPr>
              <w:widowControl/>
              <w:jc w:val="center"/>
              <w:rPr>
                <w:rFonts w:hint="eastAsia" w:ascii="宋体" w:hAnsi="宋体" w:cs="宋体"/>
                <w:color w:val="000000"/>
                <w:kern w:val="0"/>
                <w:sz w:val="24"/>
                <w:szCs w:val="24"/>
              </w:rPr>
            </w:pPr>
          </w:p>
        </w:tc>
      </w:tr>
      <w:tr w14:paraId="10EFA64A">
        <w:tblPrEx>
          <w:tblCellMar>
            <w:top w:w="0" w:type="dxa"/>
            <w:left w:w="108" w:type="dxa"/>
            <w:bottom w:w="0" w:type="dxa"/>
            <w:right w:w="108" w:type="dxa"/>
          </w:tblCellMar>
        </w:tblPrEx>
        <w:trPr>
          <w:trHeight w:val="622" w:hRule="atLeast"/>
          <w:jc w:val="center"/>
        </w:trPr>
        <w:tc>
          <w:tcPr>
            <w:tcW w:w="840" w:type="dxa"/>
            <w:tcBorders>
              <w:top w:val="nil"/>
              <w:left w:val="single" w:color="auto" w:sz="4" w:space="0"/>
              <w:bottom w:val="single" w:color="auto" w:sz="4" w:space="0"/>
              <w:right w:val="single" w:color="auto" w:sz="4" w:space="0"/>
            </w:tcBorders>
            <w:noWrap w:val="0"/>
            <w:vAlign w:val="center"/>
          </w:tcPr>
          <w:p w14:paraId="5EA8F81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11</w:t>
            </w:r>
          </w:p>
        </w:tc>
        <w:tc>
          <w:tcPr>
            <w:tcW w:w="4165" w:type="dxa"/>
            <w:tcBorders>
              <w:top w:val="nil"/>
              <w:left w:val="nil"/>
              <w:bottom w:val="single" w:color="auto" w:sz="4" w:space="0"/>
              <w:right w:val="single" w:color="auto" w:sz="4" w:space="0"/>
            </w:tcBorders>
            <w:noWrap w:val="0"/>
            <w:vAlign w:val="center"/>
          </w:tcPr>
          <w:p w14:paraId="689CE1C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供应商自行添加合理项目（墙面、地面修补等费用）</w:t>
            </w:r>
          </w:p>
        </w:tc>
        <w:tc>
          <w:tcPr>
            <w:tcW w:w="1080" w:type="dxa"/>
            <w:tcBorders>
              <w:top w:val="nil"/>
              <w:left w:val="nil"/>
              <w:bottom w:val="single" w:color="auto" w:sz="4" w:space="0"/>
              <w:right w:val="single" w:color="auto" w:sz="4" w:space="0"/>
            </w:tcBorders>
            <w:noWrap w:val="0"/>
            <w:vAlign w:val="center"/>
          </w:tcPr>
          <w:p w14:paraId="5E42086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200" w:type="dxa"/>
            <w:tcBorders>
              <w:top w:val="nil"/>
              <w:left w:val="nil"/>
              <w:bottom w:val="single" w:color="auto" w:sz="4" w:space="0"/>
              <w:right w:val="single" w:color="auto" w:sz="4" w:space="0"/>
            </w:tcBorders>
            <w:noWrap w:val="0"/>
            <w:vAlign w:val="center"/>
          </w:tcPr>
          <w:p w14:paraId="6FCFC94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1899" w:type="dxa"/>
            <w:tcBorders>
              <w:top w:val="nil"/>
              <w:left w:val="nil"/>
              <w:bottom w:val="single" w:color="auto" w:sz="4" w:space="0"/>
              <w:right w:val="single" w:color="auto" w:sz="4" w:space="0"/>
            </w:tcBorders>
            <w:noWrap w:val="0"/>
            <w:vAlign w:val="center"/>
          </w:tcPr>
          <w:p w14:paraId="6D509488">
            <w:pPr>
              <w:widowControl/>
              <w:jc w:val="center"/>
              <w:rPr>
                <w:rFonts w:hint="eastAsia" w:ascii="宋体" w:hAnsi="宋体" w:cs="宋体"/>
                <w:color w:val="000000"/>
                <w:kern w:val="0"/>
                <w:sz w:val="24"/>
                <w:szCs w:val="24"/>
              </w:rPr>
            </w:pPr>
          </w:p>
        </w:tc>
      </w:tr>
      <w:tr w14:paraId="5BC09FA4">
        <w:tblPrEx>
          <w:tblCellMar>
            <w:top w:w="0" w:type="dxa"/>
            <w:left w:w="108" w:type="dxa"/>
            <w:bottom w:w="0" w:type="dxa"/>
            <w:right w:w="108" w:type="dxa"/>
          </w:tblCellMar>
        </w:tblPrEx>
        <w:trPr>
          <w:trHeight w:val="484" w:hRule="atLeast"/>
          <w:jc w:val="center"/>
        </w:trPr>
        <w:tc>
          <w:tcPr>
            <w:tcW w:w="840" w:type="dxa"/>
            <w:tcBorders>
              <w:top w:val="nil"/>
              <w:left w:val="single" w:color="auto" w:sz="4" w:space="0"/>
              <w:bottom w:val="single" w:color="auto" w:sz="4" w:space="0"/>
              <w:right w:val="single" w:color="auto" w:sz="4" w:space="0"/>
            </w:tcBorders>
            <w:noWrap w:val="0"/>
            <w:vAlign w:val="center"/>
          </w:tcPr>
          <w:p w14:paraId="3398543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4165" w:type="dxa"/>
            <w:tcBorders>
              <w:top w:val="nil"/>
              <w:left w:val="nil"/>
              <w:bottom w:val="single" w:color="auto" w:sz="4" w:space="0"/>
              <w:right w:val="single" w:color="auto" w:sz="4" w:space="0"/>
            </w:tcBorders>
            <w:noWrap/>
            <w:vAlign w:val="center"/>
          </w:tcPr>
          <w:p w14:paraId="3483BCB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总计</w:t>
            </w:r>
          </w:p>
        </w:tc>
        <w:tc>
          <w:tcPr>
            <w:tcW w:w="1080" w:type="dxa"/>
            <w:tcBorders>
              <w:top w:val="nil"/>
              <w:left w:val="nil"/>
              <w:bottom w:val="single" w:color="auto" w:sz="4" w:space="0"/>
              <w:right w:val="single" w:color="auto" w:sz="4" w:space="0"/>
            </w:tcBorders>
            <w:noWrap/>
            <w:vAlign w:val="bottom"/>
          </w:tcPr>
          <w:p w14:paraId="5B1412D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00" w:type="dxa"/>
            <w:tcBorders>
              <w:top w:val="nil"/>
              <w:left w:val="nil"/>
              <w:bottom w:val="single" w:color="auto" w:sz="4" w:space="0"/>
              <w:right w:val="single" w:color="auto" w:sz="4" w:space="0"/>
            </w:tcBorders>
            <w:noWrap/>
            <w:vAlign w:val="bottom"/>
          </w:tcPr>
          <w:p w14:paraId="080822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899" w:type="dxa"/>
            <w:tcBorders>
              <w:top w:val="nil"/>
              <w:left w:val="nil"/>
              <w:bottom w:val="single" w:color="auto" w:sz="4" w:space="0"/>
              <w:right w:val="single" w:color="auto" w:sz="4" w:space="0"/>
            </w:tcBorders>
            <w:noWrap/>
            <w:vAlign w:val="bottom"/>
          </w:tcPr>
          <w:p w14:paraId="03E61B5C">
            <w:pPr>
              <w:widowControl/>
              <w:jc w:val="center"/>
              <w:rPr>
                <w:rFonts w:hint="eastAsia" w:ascii="宋体" w:hAnsi="宋体" w:cs="宋体"/>
                <w:color w:val="000000"/>
                <w:kern w:val="0"/>
                <w:sz w:val="32"/>
                <w:szCs w:val="32"/>
              </w:rPr>
            </w:pPr>
          </w:p>
        </w:tc>
      </w:tr>
    </w:tbl>
    <w:p w14:paraId="26E77778">
      <w:pPr>
        <w:adjustRightInd w:val="0"/>
        <w:snapToGrid w:val="0"/>
        <w:spacing w:line="360" w:lineRule="auto"/>
        <w:ind w:firstLine="482" w:firstLineChars="200"/>
        <w:rPr>
          <w:rFonts w:hint="eastAsia" w:cs="宋体"/>
          <w:b/>
          <w:sz w:val="24"/>
          <w:szCs w:val="24"/>
        </w:rPr>
      </w:pPr>
      <w:r>
        <w:rPr>
          <w:rFonts w:hint="eastAsia" w:cs="宋体"/>
          <w:b/>
          <w:sz w:val="24"/>
          <w:szCs w:val="24"/>
        </w:rPr>
        <w:t>注：供应商提供的产品应为国家认证的合格产品。</w:t>
      </w:r>
    </w:p>
    <w:p w14:paraId="3D8246A2">
      <w:pPr>
        <w:adjustRightInd w:val="0"/>
        <w:snapToGrid w:val="0"/>
        <w:spacing w:line="360" w:lineRule="auto"/>
        <w:ind w:firstLine="482" w:firstLineChars="200"/>
        <w:rPr>
          <w:rFonts w:hint="eastAsia" w:cs="宋体"/>
          <w:b/>
          <w:sz w:val="24"/>
          <w:szCs w:val="24"/>
        </w:rPr>
      </w:pPr>
      <w:r>
        <w:rPr>
          <w:rFonts w:hint="eastAsia" w:cs="宋体"/>
          <w:b/>
          <w:sz w:val="24"/>
          <w:szCs w:val="24"/>
        </w:rPr>
        <w:t>二、消防设备</w:t>
      </w:r>
      <w:r>
        <w:rPr>
          <w:rFonts w:hint="eastAsia" w:cs="宋体"/>
          <w:b/>
          <w:kern w:val="0"/>
          <w:sz w:val="24"/>
          <w:szCs w:val="24"/>
          <w:lang w:val="zh-CN"/>
        </w:rPr>
        <w:t>执行的规范及标准</w:t>
      </w:r>
    </w:p>
    <w:p w14:paraId="6D604680">
      <w:pPr>
        <w:adjustRightInd w:val="0"/>
        <w:snapToGrid w:val="0"/>
        <w:spacing w:line="360" w:lineRule="auto"/>
        <w:ind w:firstLine="480" w:firstLineChars="200"/>
        <w:rPr>
          <w:rFonts w:hint="eastAsia" w:cs="宋体"/>
          <w:kern w:val="0"/>
          <w:sz w:val="24"/>
          <w:szCs w:val="24"/>
        </w:rPr>
      </w:pPr>
      <w:r>
        <w:rPr>
          <w:rFonts w:hint="eastAsia" w:cs="宋体"/>
          <w:kern w:val="0"/>
          <w:sz w:val="24"/>
          <w:szCs w:val="24"/>
          <w:lang w:val="zh-CN"/>
        </w:rPr>
        <w:t>《</w:t>
      </w:r>
      <w:r>
        <w:rPr>
          <w:rFonts w:hint="eastAsia" w:cs="宋体"/>
          <w:kern w:val="0"/>
          <w:sz w:val="24"/>
          <w:szCs w:val="24"/>
        </w:rPr>
        <w:t>消防设施通用</w:t>
      </w:r>
      <w:r>
        <w:rPr>
          <w:rFonts w:hint="eastAsia" w:cs="宋体"/>
          <w:kern w:val="0"/>
          <w:sz w:val="24"/>
          <w:szCs w:val="24"/>
          <w:lang w:val="zh-CN"/>
        </w:rPr>
        <w:t>规范》            GB5</w:t>
      </w:r>
      <w:r>
        <w:rPr>
          <w:rFonts w:hint="eastAsia" w:cs="宋体"/>
          <w:kern w:val="0"/>
          <w:sz w:val="24"/>
          <w:szCs w:val="24"/>
        </w:rPr>
        <w:t>5036-2022</w:t>
      </w:r>
    </w:p>
    <w:p w14:paraId="16C62040">
      <w:pPr>
        <w:adjustRightInd w:val="0"/>
        <w:snapToGrid w:val="0"/>
        <w:spacing w:line="360" w:lineRule="auto"/>
        <w:ind w:firstLine="480" w:firstLineChars="200"/>
        <w:rPr>
          <w:rFonts w:cs="宋体"/>
          <w:kern w:val="0"/>
          <w:sz w:val="24"/>
          <w:szCs w:val="24"/>
        </w:rPr>
      </w:pPr>
      <w:r>
        <w:rPr>
          <w:rFonts w:hint="eastAsia" w:cs="宋体"/>
          <w:kern w:val="0"/>
          <w:sz w:val="24"/>
          <w:szCs w:val="24"/>
        </w:rPr>
        <w:t>《消防给水及消防栓系统技术规范》GB50974-2014</w:t>
      </w:r>
    </w:p>
    <w:p w14:paraId="7227DAB2">
      <w:pPr>
        <w:adjustRightInd w:val="0"/>
        <w:snapToGrid w:val="0"/>
        <w:spacing w:line="360" w:lineRule="auto"/>
        <w:ind w:firstLine="480" w:firstLineChars="200"/>
        <w:rPr>
          <w:rFonts w:hint="eastAsia" w:cs="宋体"/>
          <w:kern w:val="0"/>
          <w:sz w:val="24"/>
          <w:szCs w:val="24"/>
          <w:lang w:val="zh-CN"/>
        </w:rPr>
      </w:pPr>
      <w:r>
        <w:rPr>
          <w:rFonts w:hint="eastAsia" w:cs="宋体"/>
          <w:kern w:val="0"/>
          <w:sz w:val="24"/>
          <w:szCs w:val="24"/>
          <w:lang w:val="zh-CN"/>
        </w:rPr>
        <w:t>《</w:t>
      </w:r>
      <w:r>
        <w:rPr>
          <w:rFonts w:hint="eastAsia" w:cs="宋体"/>
          <w:kern w:val="0"/>
          <w:sz w:val="24"/>
          <w:szCs w:val="24"/>
        </w:rPr>
        <w:t>自动喷水灭火系统设计</w:t>
      </w:r>
      <w:r>
        <w:rPr>
          <w:rFonts w:hint="eastAsia" w:cs="宋体"/>
          <w:kern w:val="0"/>
          <w:sz w:val="24"/>
          <w:szCs w:val="24"/>
          <w:lang w:val="zh-CN"/>
        </w:rPr>
        <w:t>规范》    GB500</w:t>
      </w:r>
      <w:r>
        <w:rPr>
          <w:rFonts w:hint="eastAsia" w:cs="宋体"/>
          <w:kern w:val="0"/>
          <w:sz w:val="24"/>
          <w:szCs w:val="24"/>
        </w:rPr>
        <w:t>84</w:t>
      </w:r>
      <w:r>
        <w:rPr>
          <w:rFonts w:hint="eastAsia" w:cs="宋体"/>
          <w:kern w:val="0"/>
          <w:sz w:val="24"/>
          <w:szCs w:val="24"/>
          <w:lang w:val="zh-CN"/>
        </w:rPr>
        <w:t>-201</w:t>
      </w:r>
      <w:r>
        <w:rPr>
          <w:rFonts w:hint="eastAsia" w:cs="宋体"/>
          <w:kern w:val="0"/>
          <w:sz w:val="24"/>
          <w:szCs w:val="24"/>
        </w:rPr>
        <w:t>7</w:t>
      </w:r>
    </w:p>
    <w:p w14:paraId="34CE237D">
      <w:pPr>
        <w:adjustRightInd w:val="0"/>
        <w:snapToGrid w:val="0"/>
        <w:spacing w:line="360" w:lineRule="auto"/>
        <w:ind w:firstLine="480" w:firstLineChars="200"/>
        <w:rPr>
          <w:rFonts w:hint="eastAsia" w:cs="宋体"/>
          <w:kern w:val="0"/>
          <w:sz w:val="24"/>
          <w:szCs w:val="24"/>
        </w:rPr>
      </w:pPr>
      <w:r>
        <w:rPr>
          <w:rFonts w:hint="eastAsia" w:cs="宋体"/>
          <w:kern w:val="0"/>
          <w:sz w:val="24"/>
          <w:szCs w:val="24"/>
          <w:lang w:val="zh-CN"/>
        </w:rPr>
        <w:t>《</w:t>
      </w:r>
      <w:r>
        <w:rPr>
          <w:rFonts w:hint="eastAsia" w:cs="宋体"/>
          <w:kern w:val="0"/>
          <w:sz w:val="24"/>
          <w:szCs w:val="24"/>
        </w:rPr>
        <w:t>自动喷水灭火</w:t>
      </w:r>
      <w:r>
        <w:rPr>
          <w:rFonts w:hint="eastAsia" w:cs="宋体"/>
          <w:kern w:val="0"/>
          <w:sz w:val="24"/>
          <w:szCs w:val="24"/>
          <w:lang w:val="zh-CN"/>
        </w:rPr>
        <w:t>系统施工及验收规范》 GB50</w:t>
      </w:r>
      <w:r>
        <w:rPr>
          <w:rFonts w:hint="eastAsia" w:cs="宋体"/>
          <w:kern w:val="0"/>
          <w:sz w:val="24"/>
          <w:szCs w:val="24"/>
        </w:rPr>
        <w:t>261-2017</w:t>
      </w:r>
    </w:p>
    <w:p w14:paraId="771E50BA">
      <w:pPr>
        <w:adjustRightInd w:val="0"/>
        <w:snapToGrid w:val="0"/>
        <w:spacing w:line="360" w:lineRule="auto"/>
        <w:ind w:firstLine="480" w:firstLineChars="200"/>
        <w:rPr>
          <w:rFonts w:cs="宋体"/>
          <w:kern w:val="0"/>
          <w:sz w:val="24"/>
          <w:szCs w:val="24"/>
        </w:rPr>
      </w:pPr>
      <w:r>
        <w:rPr>
          <w:rFonts w:hint="eastAsia" w:cs="宋体"/>
          <w:kern w:val="0"/>
          <w:sz w:val="24"/>
          <w:szCs w:val="24"/>
        </w:rPr>
        <w:t>《消防产品 消防安全要求》  XF1025-2012</w:t>
      </w:r>
    </w:p>
    <w:p w14:paraId="69C41769">
      <w:pPr>
        <w:adjustRightInd w:val="0"/>
        <w:snapToGrid w:val="0"/>
        <w:spacing w:line="360" w:lineRule="auto"/>
        <w:ind w:firstLine="480" w:firstLineChars="200"/>
        <w:rPr>
          <w:rFonts w:hint="eastAsia" w:cs="宋体"/>
          <w:kern w:val="0"/>
          <w:sz w:val="24"/>
          <w:szCs w:val="24"/>
          <w:lang w:val="zh-CN"/>
        </w:rPr>
      </w:pPr>
      <w:r>
        <w:rPr>
          <w:rFonts w:hint="eastAsia" w:cs="宋体"/>
          <w:kern w:val="0"/>
          <w:sz w:val="24"/>
          <w:szCs w:val="24"/>
          <w:lang w:val="zh-CN"/>
        </w:rPr>
        <w:t>其它有关国家及地方标准</w:t>
      </w:r>
    </w:p>
    <w:p w14:paraId="24F763F1">
      <w:pPr>
        <w:adjustRightInd w:val="0"/>
        <w:snapToGrid w:val="0"/>
        <w:spacing w:line="360" w:lineRule="auto"/>
        <w:ind w:firstLine="482" w:firstLineChars="200"/>
        <w:rPr>
          <w:rFonts w:hint="eastAsia" w:cs="宋体"/>
          <w:b/>
          <w:kern w:val="0"/>
          <w:sz w:val="24"/>
          <w:szCs w:val="24"/>
          <w:lang w:val="zh-CN"/>
        </w:rPr>
      </w:pPr>
      <w:r>
        <w:rPr>
          <w:rFonts w:hint="eastAsia" w:cs="宋体"/>
          <w:b/>
          <w:kern w:val="0"/>
          <w:sz w:val="24"/>
          <w:szCs w:val="24"/>
          <w:lang w:val="zh-CN"/>
        </w:rPr>
        <w:t>说明：以上引用标准，如有更新标准，以最新标准为准。</w:t>
      </w:r>
    </w:p>
    <w:p w14:paraId="285D9F3C">
      <w:pPr>
        <w:adjustRightInd w:val="0"/>
        <w:snapToGrid w:val="0"/>
        <w:spacing w:line="360" w:lineRule="auto"/>
        <w:ind w:firstLine="482" w:firstLineChars="200"/>
        <w:rPr>
          <w:rFonts w:cs="Arial"/>
          <w:b/>
          <w:bCs/>
          <w:kern w:val="0"/>
          <w:sz w:val="24"/>
          <w:szCs w:val="21"/>
        </w:rPr>
      </w:pPr>
      <w:r>
        <w:rPr>
          <w:rFonts w:hint="eastAsia" w:cs="Arial"/>
          <w:b/>
          <w:bCs/>
          <w:kern w:val="0"/>
          <w:sz w:val="24"/>
          <w:szCs w:val="21"/>
        </w:rPr>
        <w:t>三、质保和售后服务要求</w:t>
      </w:r>
    </w:p>
    <w:p w14:paraId="68F28AC2">
      <w:pPr>
        <w:adjustRightInd w:val="0"/>
        <w:snapToGrid w:val="0"/>
        <w:spacing w:line="360" w:lineRule="auto"/>
        <w:ind w:firstLine="482" w:firstLineChars="200"/>
        <w:rPr>
          <w:rFonts w:hint="eastAsia" w:cs="Arial"/>
          <w:b/>
          <w:bCs/>
          <w:color w:val="auto"/>
          <w:kern w:val="0"/>
          <w:sz w:val="24"/>
          <w:szCs w:val="21"/>
        </w:rPr>
      </w:pPr>
      <w:r>
        <w:rPr>
          <w:rFonts w:hint="eastAsia" w:cs="Arial"/>
          <w:b/>
          <w:bCs/>
          <w:kern w:val="0"/>
          <w:sz w:val="24"/>
          <w:szCs w:val="21"/>
        </w:rPr>
        <w:t>1、质保期限（自交付并验收合格之日起计）：</w:t>
      </w:r>
      <w:r>
        <w:rPr>
          <w:rFonts w:hint="eastAsia" w:cs="Arial"/>
          <w:b/>
          <w:bCs/>
          <w:color w:val="auto"/>
          <w:kern w:val="0"/>
          <w:sz w:val="24"/>
          <w:szCs w:val="21"/>
        </w:rPr>
        <w:t>需提供一年的免费维修服务、终身跟踪服务。在保修期内，对于任何非人为原因造成的设备缺陷或损坏，负责及时免费更换或修理。</w:t>
      </w:r>
    </w:p>
    <w:p w14:paraId="4F0FE7B9">
      <w:pPr>
        <w:adjustRightInd w:val="0"/>
        <w:snapToGrid w:val="0"/>
        <w:spacing w:line="360" w:lineRule="auto"/>
        <w:ind w:firstLine="482" w:firstLineChars="200"/>
        <w:rPr>
          <w:rFonts w:hint="eastAsia" w:eastAsia="宋体" w:cs="Arial"/>
          <w:b/>
          <w:bCs/>
          <w:color w:val="auto"/>
          <w:kern w:val="0"/>
          <w:sz w:val="24"/>
          <w:szCs w:val="21"/>
          <w:lang w:eastAsia="zh-CN"/>
        </w:rPr>
      </w:pPr>
      <w:r>
        <w:rPr>
          <w:rFonts w:hint="eastAsia" w:cs="Arial"/>
          <w:b/>
          <w:bCs/>
          <w:color w:val="auto"/>
          <w:kern w:val="0"/>
          <w:sz w:val="24"/>
          <w:szCs w:val="21"/>
        </w:rPr>
        <w:t>四、供货</w:t>
      </w:r>
      <w:r>
        <w:rPr>
          <w:rFonts w:hint="eastAsia" w:cs="Arial"/>
          <w:b/>
          <w:bCs/>
          <w:color w:val="auto"/>
          <w:kern w:val="0"/>
          <w:sz w:val="24"/>
          <w:szCs w:val="21"/>
          <w:lang w:eastAsia="zh-CN"/>
        </w:rPr>
        <w:t>及验收</w:t>
      </w:r>
    </w:p>
    <w:p w14:paraId="62406E35">
      <w:pPr>
        <w:adjustRightInd w:val="0"/>
        <w:snapToGrid w:val="0"/>
        <w:spacing w:line="360" w:lineRule="auto"/>
        <w:ind w:firstLine="480" w:firstLineChars="200"/>
        <w:rPr>
          <w:rFonts w:cs="Arial"/>
          <w:bCs/>
          <w:color w:val="auto"/>
          <w:kern w:val="0"/>
          <w:sz w:val="24"/>
          <w:szCs w:val="21"/>
        </w:rPr>
      </w:pPr>
      <w:r>
        <w:rPr>
          <w:rFonts w:hint="eastAsia" w:cs="Arial"/>
          <w:bCs/>
          <w:color w:val="auto"/>
          <w:kern w:val="0"/>
          <w:sz w:val="24"/>
          <w:szCs w:val="21"/>
        </w:rPr>
        <w:t>1、供货时间：成交供应商在</w:t>
      </w:r>
      <w:r>
        <w:rPr>
          <w:rFonts w:hint="eastAsia" w:cs="Arial"/>
          <w:bCs/>
          <w:color w:val="auto"/>
          <w:kern w:val="0"/>
          <w:sz w:val="24"/>
          <w:szCs w:val="21"/>
          <w:lang w:eastAsia="zh-CN"/>
        </w:rPr>
        <w:t>签订</w:t>
      </w:r>
      <w:r>
        <w:rPr>
          <w:rFonts w:hint="eastAsia" w:cs="Arial"/>
          <w:bCs/>
          <w:color w:val="auto"/>
          <w:kern w:val="0"/>
          <w:sz w:val="24"/>
          <w:szCs w:val="21"/>
        </w:rPr>
        <w:t>采购合同后，于</w:t>
      </w:r>
      <w:r>
        <w:rPr>
          <w:rFonts w:hint="eastAsia" w:cs="Arial"/>
          <w:bCs/>
          <w:color w:val="auto"/>
          <w:kern w:val="0"/>
          <w:sz w:val="24"/>
          <w:szCs w:val="21"/>
          <w:lang w:eastAsia="zh-CN"/>
        </w:rPr>
        <w:t>五</w:t>
      </w:r>
      <w:r>
        <w:rPr>
          <w:rFonts w:hint="eastAsia" w:cs="Arial"/>
          <w:bCs/>
          <w:color w:val="auto"/>
          <w:kern w:val="0"/>
          <w:sz w:val="24"/>
          <w:szCs w:val="21"/>
        </w:rPr>
        <w:t>十日历天内安装调试（供需双方另有约定除外），并经验收合格交付使用；每延误一天</w:t>
      </w:r>
      <w:r>
        <w:rPr>
          <w:rFonts w:hint="eastAsia" w:cs="Arial"/>
          <w:bCs/>
          <w:color w:val="auto"/>
          <w:kern w:val="0"/>
          <w:sz w:val="24"/>
          <w:szCs w:val="21"/>
          <w:lang w:eastAsia="zh-CN"/>
        </w:rPr>
        <w:t>扣除</w:t>
      </w:r>
      <w:r>
        <w:rPr>
          <w:rFonts w:hint="eastAsia" w:cs="Arial"/>
          <w:bCs/>
          <w:color w:val="auto"/>
          <w:kern w:val="0"/>
          <w:sz w:val="24"/>
          <w:szCs w:val="21"/>
        </w:rPr>
        <w:t>总价款2‰的违约金。</w:t>
      </w:r>
    </w:p>
    <w:p w14:paraId="667433C1">
      <w:pPr>
        <w:adjustRightInd w:val="0"/>
        <w:snapToGrid w:val="0"/>
        <w:spacing w:line="360" w:lineRule="auto"/>
        <w:ind w:firstLine="480" w:firstLineChars="200"/>
        <w:outlineLvl w:val="2"/>
        <w:rPr>
          <w:rFonts w:cs="Arial"/>
          <w:bCs/>
          <w:color w:val="auto"/>
          <w:kern w:val="0"/>
          <w:sz w:val="24"/>
          <w:szCs w:val="21"/>
        </w:rPr>
      </w:pPr>
      <w:r>
        <w:rPr>
          <w:rFonts w:hint="eastAsia" w:cs="Arial"/>
          <w:bCs/>
          <w:color w:val="auto"/>
          <w:kern w:val="0"/>
          <w:sz w:val="24"/>
          <w:szCs w:val="21"/>
        </w:rPr>
        <w:t>2、交付地点：采购人指定地点。</w:t>
      </w:r>
    </w:p>
    <w:p w14:paraId="1E15E031">
      <w:pPr>
        <w:adjustRightInd w:val="0"/>
        <w:snapToGrid w:val="0"/>
        <w:spacing w:line="360" w:lineRule="auto"/>
        <w:ind w:firstLine="480" w:firstLineChars="200"/>
        <w:rPr>
          <w:rFonts w:hint="eastAsia" w:cs="Arial"/>
          <w:bCs/>
          <w:kern w:val="0"/>
          <w:sz w:val="24"/>
          <w:szCs w:val="21"/>
        </w:rPr>
      </w:pPr>
      <w:r>
        <w:rPr>
          <w:rFonts w:hint="eastAsia" w:cs="Arial"/>
          <w:bCs/>
          <w:kern w:val="0"/>
          <w:sz w:val="24"/>
          <w:szCs w:val="21"/>
        </w:rPr>
        <w:t>3、</w:t>
      </w:r>
      <w:r>
        <w:rPr>
          <w:rFonts w:hint="eastAsia" w:cs="宋体"/>
          <w:sz w:val="24"/>
          <w:szCs w:val="24"/>
        </w:rPr>
        <w:t>测试：涉及整改的系统设备能均接入整体系统正常运行，安装及调试不当造成的</w:t>
      </w:r>
      <w:r>
        <w:rPr>
          <w:rFonts w:hint="eastAsia" w:cs="Arial"/>
          <w:bCs/>
          <w:kern w:val="0"/>
          <w:sz w:val="24"/>
          <w:szCs w:val="21"/>
        </w:rPr>
        <w:t>衍生问题不列入增项费用，</w:t>
      </w:r>
      <w:r>
        <w:rPr>
          <w:rFonts w:hint="eastAsia" w:cs="宋体"/>
          <w:sz w:val="24"/>
          <w:szCs w:val="24"/>
        </w:rPr>
        <w:t>维保单位配合费和其他原因产生的费用，由成交商自行协商解决。</w:t>
      </w:r>
    </w:p>
    <w:p w14:paraId="0A1C8895">
      <w:pPr>
        <w:adjustRightInd w:val="0"/>
        <w:snapToGrid w:val="0"/>
        <w:spacing w:line="360" w:lineRule="auto"/>
        <w:ind w:firstLine="480" w:firstLineChars="200"/>
        <w:rPr>
          <w:rFonts w:hint="eastAsia" w:cs="宋体"/>
          <w:b/>
          <w:sz w:val="24"/>
          <w:szCs w:val="24"/>
        </w:rPr>
      </w:pPr>
      <w:r>
        <w:rPr>
          <w:rFonts w:hint="eastAsia" w:cs="宋体"/>
          <w:sz w:val="24"/>
          <w:szCs w:val="24"/>
        </w:rPr>
        <w:t>4、</w:t>
      </w:r>
      <w:r>
        <w:rPr>
          <w:rFonts w:hint="eastAsia" w:cs="Arial"/>
          <w:bCs/>
          <w:kern w:val="0"/>
          <w:sz w:val="24"/>
          <w:szCs w:val="21"/>
        </w:rPr>
        <w:t>验收：项目完成后须确保水系统均能正常保压，报警联动设备均能正常运行，须能通过验收合格后方可投入使用，交接至业主单位工程验收单作为支付合同款项的依据。</w:t>
      </w:r>
    </w:p>
    <w:p w14:paraId="58410F49">
      <w:pPr>
        <w:adjustRightInd w:val="0"/>
        <w:snapToGrid w:val="0"/>
        <w:spacing w:line="360" w:lineRule="auto"/>
        <w:ind w:firstLine="482" w:firstLineChars="200"/>
        <w:rPr>
          <w:rFonts w:hint="eastAsia" w:cs="Arial"/>
          <w:b/>
          <w:bCs/>
          <w:kern w:val="0"/>
          <w:sz w:val="24"/>
          <w:szCs w:val="21"/>
        </w:rPr>
      </w:pPr>
      <w:r>
        <w:rPr>
          <w:rFonts w:hint="eastAsia" w:cs="Arial"/>
          <w:b/>
          <w:bCs/>
          <w:kern w:val="0"/>
          <w:sz w:val="24"/>
          <w:szCs w:val="21"/>
        </w:rPr>
        <w:t>五、其他要求</w:t>
      </w:r>
    </w:p>
    <w:p w14:paraId="32E65299">
      <w:pPr>
        <w:adjustRightInd w:val="0"/>
        <w:snapToGrid w:val="0"/>
        <w:spacing w:line="360" w:lineRule="auto"/>
        <w:ind w:firstLine="480" w:firstLineChars="200"/>
        <w:rPr>
          <w:rFonts w:cs="Arial"/>
          <w:bCs/>
          <w:kern w:val="0"/>
          <w:sz w:val="24"/>
          <w:szCs w:val="21"/>
        </w:rPr>
      </w:pPr>
      <w:r>
        <w:rPr>
          <w:rFonts w:hint="eastAsia" w:cs="Arial"/>
          <w:bCs/>
          <w:kern w:val="0"/>
          <w:sz w:val="24"/>
          <w:szCs w:val="21"/>
        </w:rPr>
        <w:t>1、现场条件</w:t>
      </w:r>
    </w:p>
    <w:p w14:paraId="6408DF30">
      <w:pPr>
        <w:adjustRightInd w:val="0"/>
        <w:snapToGrid w:val="0"/>
        <w:spacing w:line="360" w:lineRule="auto"/>
        <w:ind w:firstLine="480" w:firstLineChars="200"/>
        <w:rPr>
          <w:rFonts w:cs="Arial"/>
          <w:bCs/>
          <w:kern w:val="0"/>
          <w:sz w:val="24"/>
          <w:szCs w:val="21"/>
        </w:rPr>
      </w:pPr>
      <w:r>
        <w:rPr>
          <w:rFonts w:hint="eastAsia" w:cs="Arial"/>
          <w:bCs/>
          <w:kern w:val="0"/>
          <w:sz w:val="24"/>
          <w:szCs w:val="21"/>
        </w:rPr>
        <w:t>1.1已具备实施条件，但项目实施不能影响人员安全。</w:t>
      </w:r>
    </w:p>
    <w:p w14:paraId="6FE83AE3">
      <w:pPr>
        <w:adjustRightInd w:val="0"/>
        <w:snapToGrid w:val="0"/>
        <w:spacing w:line="360" w:lineRule="auto"/>
        <w:ind w:firstLine="480" w:firstLineChars="200"/>
        <w:rPr>
          <w:rFonts w:hint="eastAsia" w:cs="Arial"/>
          <w:bCs/>
          <w:kern w:val="0"/>
          <w:sz w:val="24"/>
          <w:szCs w:val="21"/>
        </w:rPr>
      </w:pPr>
      <w:r>
        <w:rPr>
          <w:rFonts w:hint="eastAsia" w:cs="Arial"/>
          <w:bCs/>
          <w:kern w:val="0"/>
          <w:sz w:val="24"/>
          <w:szCs w:val="21"/>
        </w:rPr>
        <w:t>1.2</w:t>
      </w:r>
      <w:r>
        <w:rPr>
          <w:rFonts w:hint="eastAsia" w:cs="Arial"/>
          <w:bCs/>
          <w:kern w:val="0"/>
          <w:sz w:val="24"/>
          <w:szCs w:val="21"/>
          <w:lang w:eastAsia="zh-CN"/>
        </w:rPr>
        <w:t>响应</w:t>
      </w:r>
      <w:r>
        <w:rPr>
          <w:rFonts w:hint="eastAsia" w:cs="Arial"/>
          <w:bCs/>
          <w:kern w:val="0"/>
          <w:sz w:val="24"/>
          <w:szCs w:val="21"/>
        </w:rPr>
        <w:t>供应商应自行对现场和周围环境进行踏勘和了解</w:t>
      </w:r>
      <w:r>
        <w:rPr>
          <w:rFonts w:hint="eastAsia" w:cs="宋体"/>
          <w:b/>
          <w:sz w:val="24"/>
          <w:szCs w:val="24"/>
          <w:lang w:eastAsia="zh-CN"/>
        </w:rPr>
        <w:t>，</w:t>
      </w:r>
      <w:r>
        <w:rPr>
          <w:rFonts w:hint="eastAsia" w:cs="Arial"/>
          <w:bCs/>
          <w:kern w:val="0"/>
          <w:sz w:val="24"/>
          <w:szCs w:val="21"/>
        </w:rPr>
        <w:t>以获取有关编制投标文件和签署合同所需的各种资料，并应充分考虑影响本次报价的因素、预计实施过程中各种不利因素，由此可能发生的费用均由投标供应商考虑并包含在投标报价中。</w:t>
      </w:r>
      <w:r>
        <w:rPr>
          <w:rFonts w:hint="eastAsia" w:cs="Arial"/>
          <w:bCs/>
          <w:kern w:val="0"/>
          <w:sz w:val="24"/>
          <w:szCs w:val="21"/>
          <w:lang w:eastAsia="zh-CN"/>
        </w:rPr>
        <w:t>成交</w:t>
      </w:r>
      <w:r>
        <w:rPr>
          <w:rFonts w:hint="eastAsia" w:cs="Arial"/>
          <w:bCs/>
          <w:kern w:val="0"/>
          <w:sz w:val="24"/>
          <w:szCs w:val="21"/>
        </w:rPr>
        <w:t>后，</w:t>
      </w:r>
      <w:r>
        <w:rPr>
          <w:rFonts w:hint="eastAsia" w:cs="Arial"/>
          <w:bCs/>
          <w:kern w:val="0"/>
          <w:sz w:val="24"/>
          <w:szCs w:val="21"/>
          <w:lang w:eastAsia="zh-CN"/>
        </w:rPr>
        <w:t>响应</w:t>
      </w:r>
      <w:r>
        <w:rPr>
          <w:rFonts w:hint="eastAsia" w:cs="Arial"/>
          <w:bCs/>
          <w:kern w:val="0"/>
          <w:sz w:val="24"/>
          <w:szCs w:val="21"/>
        </w:rPr>
        <w:t>供应商不得再以不完全了解现场情况等为理由而提出额外付款或延长工期等的要求，若有此类要求，采购人将不作任何答复与考虑，</w:t>
      </w:r>
      <w:r>
        <w:rPr>
          <w:rFonts w:hint="eastAsia" w:cs="Arial"/>
          <w:bCs/>
          <w:kern w:val="0"/>
          <w:sz w:val="24"/>
          <w:szCs w:val="21"/>
          <w:lang w:eastAsia="zh-CN"/>
        </w:rPr>
        <w:t>响应</w:t>
      </w:r>
      <w:r>
        <w:rPr>
          <w:rFonts w:hint="eastAsia" w:cs="Arial"/>
          <w:bCs/>
          <w:kern w:val="0"/>
          <w:sz w:val="24"/>
          <w:szCs w:val="21"/>
        </w:rPr>
        <w:t>供应商应承担现场踏勘的责任和风险，踏勘现场的费用由</w:t>
      </w:r>
      <w:r>
        <w:rPr>
          <w:rFonts w:hint="eastAsia" w:cs="Arial"/>
          <w:bCs/>
          <w:kern w:val="0"/>
          <w:sz w:val="24"/>
          <w:szCs w:val="21"/>
          <w:lang w:eastAsia="zh-CN"/>
        </w:rPr>
        <w:t>响应</w:t>
      </w:r>
      <w:r>
        <w:rPr>
          <w:rFonts w:hint="eastAsia" w:cs="Arial"/>
          <w:bCs/>
          <w:kern w:val="0"/>
          <w:sz w:val="24"/>
          <w:szCs w:val="21"/>
        </w:rPr>
        <w:t>供应商自行承担，</w:t>
      </w:r>
      <w:r>
        <w:rPr>
          <w:rFonts w:hint="eastAsia" w:cs="Arial"/>
          <w:b/>
          <w:bCs w:val="0"/>
          <w:kern w:val="0"/>
          <w:sz w:val="24"/>
          <w:szCs w:val="21"/>
        </w:rPr>
        <w:t>并取得</w:t>
      </w:r>
      <w:r>
        <w:rPr>
          <w:rFonts w:hint="eastAsia" w:cs="Arial"/>
          <w:b/>
          <w:bCs w:val="0"/>
          <w:kern w:val="0"/>
          <w:sz w:val="24"/>
          <w:szCs w:val="21"/>
          <w:lang w:eastAsia="zh-CN"/>
        </w:rPr>
        <w:t>经采购人确认的</w:t>
      </w:r>
      <w:r>
        <w:rPr>
          <w:rFonts w:hint="eastAsia" w:cs="Arial"/>
          <w:b/>
          <w:bCs w:val="0"/>
          <w:kern w:val="0"/>
          <w:sz w:val="24"/>
          <w:szCs w:val="21"/>
        </w:rPr>
        <w:t>现场勘察证明</w:t>
      </w:r>
      <w:r>
        <w:rPr>
          <w:rFonts w:hint="eastAsia" w:cs="Arial"/>
          <w:bCs/>
          <w:kern w:val="0"/>
          <w:sz w:val="24"/>
          <w:szCs w:val="21"/>
        </w:rPr>
        <w:t>，</w:t>
      </w:r>
      <w:r>
        <w:rPr>
          <w:rFonts w:hint="eastAsia" w:cs="Arial"/>
          <w:b/>
          <w:bCs w:val="0"/>
          <w:kern w:val="0"/>
          <w:sz w:val="24"/>
          <w:szCs w:val="21"/>
        </w:rPr>
        <w:t>联系人：</w:t>
      </w:r>
      <w:r>
        <w:rPr>
          <w:rFonts w:hint="eastAsia" w:cs="Arial"/>
          <w:b/>
          <w:bCs w:val="0"/>
          <w:color w:val="000000"/>
          <w:kern w:val="0"/>
          <w:sz w:val="24"/>
          <w:szCs w:val="21"/>
          <w:u w:val="none"/>
        </w:rPr>
        <w:t>张德明</w:t>
      </w:r>
      <w:r>
        <w:rPr>
          <w:rFonts w:hint="eastAsia" w:cs="Arial"/>
          <w:b/>
          <w:bCs w:val="0"/>
          <w:kern w:val="0"/>
          <w:sz w:val="24"/>
          <w:szCs w:val="21"/>
        </w:rPr>
        <w:t xml:space="preserve"> ，联系电话：</w:t>
      </w:r>
      <w:r>
        <w:rPr>
          <w:rFonts w:hint="eastAsia" w:cs="宋体"/>
          <w:b/>
          <w:bCs/>
          <w:sz w:val="24"/>
          <w:szCs w:val="24"/>
        </w:rPr>
        <w:t>0513-85116011</w:t>
      </w:r>
      <w:r>
        <w:rPr>
          <w:rFonts w:hint="eastAsia" w:cs="Arial"/>
          <w:bCs/>
          <w:kern w:val="0"/>
          <w:sz w:val="24"/>
          <w:szCs w:val="21"/>
        </w:rPr>
        <w:t>。</w:t>
      </w:r>
    </w:p>
    <w:p w14:paraId="3156D032">
      <w:pPr>
        <w:numPr>
          <w:ilvl w:val="0"/>
          <w:numId w:val="0"/>
        </w:numPr>
        <w:adjustRightInd w:val="0"/>
        <w:snapToGrid w:val="0"/>
        <w:spacing w:line="360" w:lineRule="auto"/>
        <w:ind w:firstLine="480" w:firstLineChars="200"/>
        <w:rPr>
          <w:rFonts w:hint="eastAsia" w:ascii="Times New Roman" w:hAnsi="Times New Roman" w:eastAsia="宋体" w:cs="宋体"/>
          <w:color w:val="auto"/>
          <w:sz w:val="24"/>
          <w:szCs w:val="24"/>
        </w:rPr>
      </w:pPr>
      <w:r>
        <w:rPr>
          <w:rFonts w:hint="eastAsia" w:ascii="Times New Roman" w:hAnsi="Times New Roman" w:eastAsia="宋体" w:cs="宋体"/>
          <w:kern w:val="2"/>
          <w:sz w:val="24"/>
          <w:szCs w:val="24"/>
          <w:lang w:val="en-US" w:eastAsia="zh-CN" w:bidi="ar-SA"/>
        </w:rPr>
        <w:t>2、</w:t>
      </w:r>
      <w:r>
        <w:rPr>
          <w:rFonts w:hint="eastAsia" w:cs="宋体"/>
          <w:sz w:val="24"/>
          <w:szCs w:val="24"/>
        </w:rPr>
        <w:t>施工要求：供应商施工前需要提前报备，经业主方同意后方可进场，提交施工流程图并作三方作技术交底。施工过程由业主方及相关单位全程监督，确保所有点位均需要专员</w:t>
      </w:r>
      <w:r>
        <w:rPr>
          <w:rFonts w:hint="eastAsia" w:cs="宋体"/>
          <w:color w:val="auto"/>
          <w:sz w:val="24"/>
          <w:szCs w:val="24"/>
        </w:rPr>
        <w:t>调试并留有调试</w:t>
      </w:r>
      <w:r>
        <w:rPr>
          <w:rFonts w:hint="eastAsia" w:ascii="Times New Roman" w:hAnsi="Times New Roman" w:eastAsia="宋体" w:cs="宋体"/>
          <w:color w:val="auto"/>
          <w:sz w:val="24"/>
          <w:szCs w:val="24"/>
        </w:rPr>
        <w:t>记录。</w:t>
      </w:r>
    </w:p>
    <w:p w14:paraId="50C65756">
      <w:pPr>
        <w:numPr>
          <w:ilvl w:val="0"/>
          <w:numId w:val="0"/>
        </w:numPr>
        <w:adjustRightInd w:val="0"/>
        <w:snapToGrid w:val="0"/>
        <w:spacing w:line="360" w:lineRule="auto"/>
        <w:ind w:left="479" w:leftChars="228" w:firstLine="0" w:firstLineChars="0"/>
        <w:rPr>
          <w:rFonts w:hint="eastAsia" w:ascii="Times New Roman" w:hAnsi="Times New Roman" w:eastAsia="宋体" w:cs="Arial"/>
          <w:b/>
          <w:bCs/>
          <w:kern w:val="0"/>
          <w:sz w:val="24"/>
          <w:szCs w:val="21"/>
          <w:lang w:eastAsia="zh-CN"/>
        </w:rPr>
      </w:pPr>
      <w:r>
        <w:rPr>
          <w:rFonts w:hint="eastAsia" w:ascii="Times New Roman" w:hAnsi="Times New Roman" w:eastAsia="宋体" w:cs="Arial"/>
          <w:b/>
          <w:bCs/>
          <w:kern w:val="0"/>
          <w:sz w:val="24"/>
          <w:szCs w:val="21"/>
          <w:lang w:eastAsia="zh-CN"/>
        </w:rPr>
        <w:t>六、付款方式</w:t>
      </w:r>
    </w:p>
    <w:p w14:paraId="782FBD0A">
      <w:pPr>
        <w:adjustRightInd w:val="0"/>
        <w:snapToGrid w:val="0"/>
        <w:spacing w:line="360" w:lineRule="auto"/>
        <w:ind w:firstLine="482" w:firstLineChars="200"/>
        <w:rPr>
          <w:rFonts w:hint="eastAsia" w:cs="宋体"/>
          <w:b/>
          <w:color w:val="000000"/>
          <w:sz w:val="24"/>
          <w:szCs w:val="24"/>
        </w:rPr>
      </w:pPr>
      <w:r>
        <w:rPr>
          <w:rFonts w:hint="eastAsia" w:cs="宋体"/>
          <w:b/>
          <w:color w:val="000000"/>
          <w:sz w:val="24"/>
          <w:szCs w:val="24"/>
        </w:rPr>
        <w:t>现场消防系统测试工作全部完成，经验收合格后，按实结算支</w:t>
      </w:r>
      <w:r>
        <w:rPr>
          <w:rFonts w:hint="eastAsia" w:cs="宋体"/>
          <w:b/>
          <w:color w:val="auto"/>
          <w:sz w:val="24"/>
          <w:szCs w:val="24"/>
        </w:rPr>
        <w:t>付</w:t>
      </w:r>
      <w:r>
        <w:rPr>
          <w:rFonts w:hint="eastAsia" w:cs="宋体"/>
          <w:b/>
          <w:color w:val="auto"/>
          <w:sz w:val="24"/>
          <w:szCs w:val="24"/>
          <w:lang w:eastAsia="zh-CN"/>
        </w:rPr>
        <w:t>合同总金额的</w:t>
      </w:r>
      <w:r>
        <w:rPr>
          <w:rFonts w:hint="eastAsia" w:cs="宋体"/>
          <w:b/>
          <w:color w:val="auto"/>
          <w:sz w:val="24"/>
          <w:szCs w:val="24"/>
          <w:lang w:val="en-US" w:eastAsia="zh-CN"/>
        </w:rPr>
        <w:t>80</w:t>
      </w:r>
      <w:r>
        <w:rPr>
          <w:rFonts w:hint="eastAsia" w:cs="宋体"/>
          <w:b/>
          <w:color w:val="000000"/>
          <w:sz w:val="24"/>
          <w:szCs w:val="24"/>
        </w:rPr>
        <w:t>%，</w:t>
      </w:r>
      <w:r>
        <w:rPr>
          <w:rFonts w:hint="eastAsia" w:cs="宋体"/>
          <w:b/>
          <w:color w:val="000000"/>
          <w:sz w:val="24"/>
          <w:szCs w:val="24"/>
          <w:lang w:eastAsia="zh-CN"/>
        </w:rPr>
        <w:t>尾款</w:t>
      </w:r>
      <w:r>
        <w:rPr>
          <w:rFonts w:hint="eastAsia" w:cs="宋体"/>
          <w:b/>
          <w:color w:val="000000"/>
          <w:sz w:val="24"/>
          <w:szCs w:val="24"/>
          <w:lang w:val="en-US" w:eastAsia="zh-CN"/>
        </w:rPr>
        <w:t>20</w:t>
      </w:r>
      <w:r>
        <w:rPr>
          <w:rFonts w:hint="eastAsia" w:cs="宋体"/>
          <w:b/>
          <w:color w:val="000000"/>
          <w:sz w:val="24"/>
          <w:szCs w:val="24"/>
        </w:rPr>
        <w:t>%满一年无异议后支付。</w:t>
      </w:r>
    </w:p>
    <w:p w14:paraId="6006E27B">
      <w:pPr>
        <w:keepNext w:val="0"/>
        <w:keepLines w:val="0"/>
        <w:pageBreakBefore w:val="0"/>
        <w:widowControl w:val="0"/>
        <w:numPr>
          <w:ilvl w:val="0"/>
          <w:numId w:val="0"/>
        </w:numPr>
        <w:wordWrap/>
        <w:topLinePunct w:val="0"/>
        <w:bidi w:val="0"/>
        <w:spacing w:line="360" w:lineRule="auto"/>
        <w:ind w:firstLine="482" w:firstLineChars="200"/>
        <w:rPr>
          <w:rFonts w:hint="eastAsia" w:ascii="Times New Roman" w:hAnsi="Times New Roman" w:eastAsia="宋体" w:cs="宋体"/>
          <w:w w:val="80"/>
          <w:sz w:val="48"/>
          <w:szCs w:val="44"/>
        </w:rPr>
      </w:pPr>
      <w:r>
        <w:rPr>
          <w:rFonts w:hint="eastAsia" w:cs="宋体"/>
          <w:b/>
          <w:color w:val="000000"/>
          <w:sz w:val="24"/>
          <w:szCs w:val="24"/>
        </w:rPr>
        <w:t>以上付款均不计利息，</w:t>
      </w:r>
      <w:r>
        <w:rPr>
          <w:rFonts w:hint="eastAsia" w:cs="宋体"/>
          <w:b/>
          <w:color w:val="000000"/>
          <w:sz w:val="24"/>
          <w:szCs w:val="24"/>
          <w:lang w:eastAsia="zh-CN"/>
        </w:rPr>
        <w:t>成交</w:t>
      </w:r>
      <w:r>
        <w:rPr>
          <w:rFonts w:hint="eastAsia" w:cs="宋体"/>
          <w:b/>
          <w:color w:val="000000"/>
          <w:sz w:val="24"/>
          <w:szCs w:val="24"/>
        </w:rPr>
        <w:t>人应出具由税务部门认可的正式发票。</w:t>
      </w:r>
    </w:p>
    <w:p w14:paraId="63A026ED">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38121794"/>
      <w:bookmarkStart w:id="11" w:name="_Toc85627670"/>
      <w:bookmarkStart w:id="12" w:name="_Toc37322565"/>
      <w:bookmarkStart w:id="13" w:name="_Toc43217893"/>
      <w:bookmarkStart w:id="14" w:name="_Toc182848996"/>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14:paraId="42F72455">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bookmarkStart w:id="15" w:name="_Toc363573857"/>
      <w:bookmarkEnd w:id="15"/>
      <w:r>
        <w:rPr>
          <w:rFonts w:hint="eastAsia" w:ascii="Times New Roman" w:hAnsi="Times New Roman" w:eastAsia="宋体" w:cs="宋体"/>
          <w:b/>
          <w:bCs/>
          <w:szCs w:val="24"/>
          <w:shd w:val="clear" w:color="auto" w:fill="FFFFFF"/>
        </w:rPr>
        <w:t>一、代理机构组织磋商</w:t>
      </w:r>
    </w:p>
    <w:p w14:paraId="13DD63E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14:paraId="15F63C2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14:paraId="4F1397F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14:paraId="73A6820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14:paraId="6EAA2C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14:paraId="66B679F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14:paraId="0BB9E27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w:t>
      </w:r>
    </w:p>
    <w:p w14:paraId="587F1F1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14:paraId="015F39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14:paraId="27EFC6A3">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二、磋商的原则及方法</w:t>
      </w:r>
    </w:p>
    <w:p w14:paraId="51ED04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公开、公平、公正、择优、信用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的原则进行磋商评审。</w:t>
      </w:r>
    </w:p>
    <w:p w14:paraId="0DB3DEC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14:paraId="2C17DB5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67FEC03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14:paraId="25F9B61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14:paraId="5C671DC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14:paraId="220712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5F671AD9">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FF0000"/>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14:paraId="642EBA46">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三、磋商评定结果的方法</w:t>
      </w:r>
    </w:p>
    <w:p w14:paraId="1FA7A4F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14:paraId="68BA05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14:paraId="0452C9E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14:paraId="3031F85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60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14:paraId="1D2B31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40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14:paraId="2785C00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14:paraId="1CC32C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14:paraId="756F3D1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14:paraId="2D67C28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14:paraId="47C4BA7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14:paraId="0DEF2D3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14:paraId="3C3A1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14:paraId="1E0FFA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14:paraId="75D37F34">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四、综合评分评审标准</w:t>
      </w:r>
    </w:p>
    <w:p w14:paraId="392D728A">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（一）商务技术分：</w:t>
      </w:r>
      <w:r>
        <w:rPr>
          <w:rFonts w:hint="eastAsia" w:ascii="Times New Roman" w:hAnsi="Times New Roman" w:cs="宋体"/>
          <w:b/>
          <w:bCs/>
          <w:szCs w:val="24"/>
          <w:shd w:val="clear" w:color="auto" w:fill="FFFFFF"/>
          <w:lang w:val="en-US" w:eastAsia="zh-CN"/>
        </w:rPr>
        <w:t>60</w:t>
      </w:r>
      <w:r>
        <w:rPr>
          <w:rFonts w:hint="eastAsia" w:ascii="Times New Roman" w:hAnsi="Times New Roman" w:eastAsia="宋体" w:cs="宋体"/>
          <w:b/>
          <w:bCs/>
          <w:szCs w:val="24"/>
          <w:shd w:val="clear" w:color="auto" w:fill="FFFFFF"/>
        </w:rPr>
        <w:t>分</w:t>
      </w:r>
    </w:p>
    <w:tbl>
      <w:tblPr>
        <w:tblStyle w:val="25"/>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6"/>
        <w:gridCol w:w="765"/>
        <w:gridCol w:w="6254"/>
      </w:tblGrid>
      <w:tr w14:paraId="4512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14:paraId="28EE2A60">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36" w:type="dxa"/>
            <w:noWrap w:val="0"/>
            <w:vAlign w:val="center"/>
          </w:tcPr>
          <w:p w14:paraId="77312134">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评审项目</w:t>
            </w:r>
          </w:p>
        </w:tc>
        <w:tc>
          <w:tcPr>
            <w:tcW w:w="765" w:type="dxa"/>
            <w:noWrap w:val="0"/>
            <w:vAlign w:val="center"/>
          </w:tcPr>
          <w:p w14:paraId="1512E12F">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满</w:t>
            </w:r>
            <w:r>
              <w:rPr>
                <w:rFonts w:hint="eastAsia" w:ascii="宋体" w:hAnsi="宋体" w:eastAsia="宋体" w:cs="宋体"/>
                <w:b/>
                <w:bCs/>
                <w:sz w:val="24"/>
                <w:szCs w:val="24"/>
              </w:rPr>
              <w:t>分</w:t>
            </w:r>
          </w:p>
        </w:tc>
        <w:tc>
          <w:tcPr>
            <w:tcW w:w="6254" w:type="dxa"/>
            <w:noWrap w:val="0"/>
            <w:vAlign w:val="center"/>
          </w:tcPr>
          <w:p w14:paraId="795C8665">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技术评审因素及评分规定</w:t>
            </w:r>
          </w:p>
        </w:tc>
      </w:tr>
      <w:tr w14:paraId="1D90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14:paraId="43F94FE6">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6" w:type="dxa"/>
            <w:noWrap w:val="0"/>
            <w:vAlign w:val="center"/>
          </w:tcPr>
          <w:p w14:paraId="602FADD1">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hAnsi="宋体" w:cs="宋体"/>
                <w:sz w:val="24"/>
                <w:szCs w:val="24"/>
                <w:lang w:eastAsia="zh-CN"/>
              </w:rPr>
              <w:t>企业资质</w:t>
            </w:r>
          </w:p>
        </w:tc>
        <w:tc>
          <w:tcPr>
            <w:tcW w:w="765" w:type="dxa"/>
            <w:noWrap w:val="0"/>
            <w:vAlign w:val="center"/>
          </w:tcPr>
          <w:p w14:paraId="6BA1502D">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default" w:hAnsi="宋体" w:cs="宋体"/>
                <w:sz w:val="24"/>
                <w:szCs w:val="24"/>
                <w:lang w:val="en-US" w:eastAsia="zh-CN"/>
              </w:rPr>
            </w:pPr>
            <w:r>
              <w:rPr>
                <w:rFonts w:hint="eastAsia" w:hAnsi="宋体" w:cs="宋体"/>
                <w:sz w:val="24"/>
                <w:szCs w:val="24"/>
                <w:lang w:val="en-US" w:eastAsia="zh-CN"/>
              </w:rPr>
              <w:t>5</w:t>
            </w:r>
          </w:p>
        </w:tc>
        <w:tc>
          <w:tcPr>
            <w:tcW w:w="6254" w:type="dxa"/>
            <w:noWrap w:val="0"/>
            <w:vAlign w:val="top"/>
          </w:tcPr>
          <w:p w14:paraId="7B38EE53">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left"/>
              <w:rPr>
                <w:rFonts w:hint="eastAsia" w:hAnsi="宋体" w:cs="宋体"/>
                <w:color w:val="auto"/>
                <w:sz w:val="24"/>
                <w:szCs w:val="24"/>
                <w:lang w:eastAsia="zh-CN"/>
              </w:rPr>
            </w:pPr>
            <w:r>
              <w:rPr>
                <w:rFonts w:hint="eastAsia" w:hAnsi="宋体" w:cs="宋体"/>
                <w:color w:val="auto"/>
                <w:sz w:val="24"/>
                <w:szCs w:val="24"/>
                <w:lang w:eastAsia="zh-CN"/>
              </w:rPr>
              <w:t>响应人具有消防设施工程专业承包贰级及以上资质得</w:t>
            </w:r>
            <w:r>
              <w:rPr>
                <w:rFonts w:hint="eastAsia" w:hAnsi="宋体" w:cs="宋体"/>
                <w:color w:val="auto"/>
                <w:sz w:val="24"/>
                <w:szCs w:val="24"/>
                <w:lang w:val="en-US" w:eastAsia="zh-CN"/>
              </w:rPr>
              <w:t>5</w:t>
            </w:r>
            <w:r>
              <w:rPr>
                <w:rFonts w:hint="eastAsia" w:hAnsi="宋体" w:cs="宋体"/>
                <w:color w:val="auto"/>
                <w:sz w:val="24"/>
                <w:szCs w:val="24"/>
                <w:lang w:eastAsia="zh-CN"/>
              </w:rPr>
              <w:t>分。没有不得分。</w:t>
            </w:r>
          </w:p>
        </w:tc>
      </w:tr>
      <w:tr w14:paraId="1602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14:paraId="577AF52A">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6" w:type="dxa"/>
            <w:noWrap w:val="0"/>
            <w:vAlign w:val="center"/>
          </w:tcPr>
          <w:p w14:paraId="0B59D545">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人员配备</w:t>
            </w:r>
          </w:p>
        </w:tc>
        <w:tc>
          <w:tcPr>
            <w:tcW w:w="765" w:type="dxa"/>
            <w:noWrap w:val="0"/>
            <w:vAlign w:val="center"/>
          </w:tcPr>
          <w:p w14:paraId="7BB37067">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default" w:hAnsi="宋体" w:cs="宋体"/>
                <w:sz w:val="24"/>
                <w:szCs w:val="24"/>
                <w:lang w:val="en-US" w:eastAsia="zh-CN"/>
              </w:rPr>
            </w:pPr>
            <w:r>
              <w:rPr>
                <w:rFonts w:hint="eastAsia" w:hAnsi="宋体" w:cs="宋体"/>
                <w:sz w:val="24"/>
                <w:szCs w:val="24"/>
                <w:lang w:val="en-US" w:eastAsia="zh-CN"/>
              </w:rPr>
              <w:t>15</w:t>
            </w:r>
          </w:p>
        </w:tc>
        <w:tc>
          <w:tcPr>
            <w:tcW w:w="6254" w:type="dxa"/>
            <w:noWrap w:val="0"/>
            <w:vAlign w:val="top"/>
          </w:tcPr>
          <w:p w14:paraId="456B464A">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left"/>
              <w:rPr>
                <w:rFonts w:hint="eastAsia" w:hAnsi="宋体" w:cs="宋体"/>
                <w:color w:val="auto"/>
                <w:sz w:val="24"/>
                <w:szCs w:val="24"/>
                <w:lang w:eastAsia="zh-CN"/>
              </w:rPr>
            </w:pPr>
            <w:r>
              <w:rPr>
                <w:rFonts w:hint="eastAsia" w:hAnsi="宋体" w:cs="宋体"/>
                <w:sz w:val="24"/>
                <w:szCs w:val="24"/>
                <w:lang w:eastAsia="zh-CN"/>
              </w:rPr>
              <w:t>响应人拟投入本项目的人员每提供1名一级注册消防工程师得</w:t>
            </w:r>
            <w:r>
              <w:rPr>
                <w:rFonts w:hint="eastAsia" w:hAnsi="宋体" w:cs="宋体"/>
                <w:sz w:val="24"/>
                <w:szCs w:val="24"/>
                <w:lang w:val="en-US" w:eastAsia="zh-CN"/>
              </w:rPr>
              <w:t>3</w:t>
            </w:r>
            <w:r>
              <w:rPr>
                <w:rFonts w:hint="eastAsia" w:hAnsi="宋体" w:cs="宋体"/>
                <w:sz w:val="24"/>
                <w:szCs w:val="24"/>
                <w:lang w:eastAsia="zh-CN"/>
              </w:rPr>
              <w:t>分，每提供1名二级及以上建造师得</w:t>
            </w:r>
            <w:r>
              <w:rPr>
                <w:rFonts w:hint="eastAsia" w:hAnsi="宋体" w:cs="宋体"/>
                <w:sz w:val="24"/>
                <w:szCs w:val="24"/>
                <w:lang w:val="en-US" w:eastAsia="zh-CN"/>
              </w:rPr>
              <w:t>3</w:t>
            </w:r>
            <w:r>
              <w:rPr>
                <w:rFonts w:hint="eastAsia" w:hAnsi="宋体" w:cs="宋体"/>
                <w:sz w:val="24"/>
                <w:szCs w:val="24"/>
                <w:lang w:eastAsia="zh-CN"/>
              </w:rPr>
              <w:t>分。本项最高得1</w:t>
            </w:r>
            <w:r>
              <w:rPr>
                <w:rFonts w:hint="eastAsia" w:hAnsi="宋体" w:cs="宋体"/>
                <w:sz w:val="24"/>
                <w:szCs w:val="24"/>
                <w:lang w:val="en-US" w:eastAsia="zh-CN"/>
              </w:rPr>
              <w:t>5</w:t>
            </w:r>
            <w:r>
              <w:rPr>
                <w:rFonts w:hint="eastAsia" w:hAnsi="宋体" w:cs="宋体"/>
                <w:sz w:val="24"/>
                <w:szCs w:val="24"/>
                <w:lang w:eastAsia="zh-CN"/>
              </w:rPr>
              <w:t>分。（提供证书复印件及本单位连续近三个月的社保缴费证明加盖公章）</w:t>
            </w:r>
          </w:p>
        </w:tc>
      </w:tr>
      <w:tr w14:paraId="6E83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14:paraId="77C0ADA2">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36" w:type="dxa"/>
            <w:noWrap w:val="0"/>
            <w:vAlign w:val="center"/>
          </w:tcPr>
          <w:p w14:paraId="4279B782">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hAnsi="宋体" w:cs="宋体"/>
                <w:sz w:val="24"/>
                <w:szCs w:val="24"/>
                <w:lang w:eastAsia="zh-CN"/>
              </w:rPr>
              <w:t>业绩</w:t>
            </w:r>
          </w:p>
        </w:tc>
        <w:tc>
          <w:tcPr>
            <w:tcW w:w="765" w:type="dxa"/>
            <w:noWrap w:val="0"/>
            <w:vAlign w:val="center"/>
          </w:tcPr>
          <w:p w14:paraId="173B8D4B">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default" w:hAnsi="宋体" w:cs="宋体"/>
                <w:sz w:val="24"/>
                <w:szCs w:val="24"/>
                <w:lang w:val="en-US" w:eastAsia="zh-CN"/>
              </w:rPr>
            </w:pPr>
            <w:r>
              <w:rPr>
                <w:rFonts w:hint="eastAsia" w:hAnsi="宋体" w:cs="宋体"/>
                <w:sz w:val="24"/>
                <w:szCs w:val="24"/>
                <w:lang w:val="en-US" w:eastAsia="zh-CN"/>
              </w:rPr>
              <w:t>10</w:t>
            </w:r>
          </w:p>
        </w:tc>
        <w:tc>
          <w:tcPr>
            <w:tcW w:w="6254" w:type="dxa"/>
            <w:noWrap w:val="0"/>
            <w:vAlign w:val="top"/>
          </w:tcPr>
          <w:p w14:paraId="47345F43">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left"/>
              <w:rPr>
                <w:rFonts w:hint="eastAsia" w:hAnsi="宋体" w:cs="宋体"/>
                <w:sz w:val="24"/>
                <w:szCs w:val="24"/>
                <w:lang w:val="en-US" w:eastAsia="zh-CN"/>
              </w:rPr>
            </w:pPr>
            <w:r>
              <w:rPr>
                <w:rFonts w:hint="eastAsia" w:hAnsi="宋体" w:cs="宋体"/>
                <w:sz w:val="24"/>
                <w:szCs w:val="24"/>
                <w:lang w:eastAsia="zh-CN"/>
              </w:rPr>
              <w:t>响应人</w:t>
            </w:r>
            <w:r>
              <w:rPr>
                <w:rFonts w:hint="eastAsia" w:hAnsi="宋体" w:cs="宋体"/>
                <w:color w:val="auto"/>
                <w:sz w:val="24"/>
                <w:szCs w:val="24"/>
                <w:highlight w:val="none"/>
                <w:lang w:eastAsia="zh-CN"/>
              </w:rPr>
              <w:t>自202</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年</w:t>
            </w:r>
            <w:r>
              <w:rPr>
                <w:rFonts w:hint="eastAsia" w:hAnsi="宋体" w:cs="宋体"/>
                <w:color w:val="auto"/>
                <w:sz w:val="24"/>
                <w:szCs w:val="24"/>
                <w:highlight w:val="none"/>
                <w:lang w:val="en-US" w:eastAsia="zh-CN"/>
              </w:rPr>
              <w:t>1月1日</w:t>
            </w:r>
            <w:r>
              <w:rPr>
                <w:rFonts w:hint="eastAsia" w:hAnsi="宋体" w:cs="宋体"/>
                <w:color w:val="auto"/>
                <w:sz w:val="24"/>
                <w:szCs w:val="24"/>
                <w:highlight w:val="none"/>
                <w:lang w:eastAsia="zh-CN"/>
              </w:rPr>
              <w:t>以</w:t>
            </w:r>
            <w:r>
              <w:rPr>
                <w:rFonts w:hint="eastAsia" w:hAnsi="宋体" w:cs="宋体"/>
                <w:sz w:val="24"/>
                <w:szCs w:val="24"/>
                <w:lang w:eastAsia="zh-CN"/>
              </w:rPr>
              <w:t>来，承担与本项目类似规模建筑物消防改造或施工项目，每提供</w:t>
            </w:r>
            <w:r>
              <w:rPr>
                <w:rFonts w:hint="eastAsia" w:hAnsi="宋体" w:cs="宋体"/>
                <w:sz w:val="24"/>
                <w:szCs w:val="24"/>
                <w:lang w:val="en-US" w:eastAsia="zh-CN"/>
              </w:rPr>
              <w:t>1</w:t>
            </w:r>
            <w:r>
              <w:rPr>
                <w:rFonts w:hint="eastAsia" w:hAnsi="宋体" w:cs="宋体"/>
                <w:sz w:val="24"/>
                <w:szCs w:val="24"/>
                <w:lang w:eastAsia="zh-CN"/>
              </w:rPr>
              <w:t>份得</w:t>
            </w:r>
            <w:r>
              <w:rPr>
                <w:rFonts w:hint="eastAsia" w:hAnsi="宋体" w:cs="宋体"/>
                <w:sz w:val="24"/>
                <w:szCs w:val="24"/>
                <w:lang w:val="en-US" w:eastAsia="zh-CN"/>
              </w:rPr>
              <w:t>2</w:t>
            </w:r>
            <w:r>
              <w:rPr>
                <w:rFonts w:hint="eastAsia" w:hAnsi="宋体" w:cs="宋体"/>
                <w:sz w:val="24"/>
                <w:szCs w:val="24"/>
                <w:lang w:eastAsia="zh-CN"/>
              </w:rPr>
              <w:t>分，本项最高得</w:t>
            </w:r>
            <w:r>
              <w:rPr>
                <w:rFonts w:hint="eastAsia" w:hAnsi="宋体" w:cs="宋体"/>
                <w:sz w:val="24"/>
                <w:szCs w:val="24"/>
                <w:lang w:val="en-US" w:eastAsia="zh-CN"/>
              </w:rPr>
              <w:t>10分。</w:t>
            </w:r>
            <w:r>
              <w:rPr>
                <w:rFonts w:hint="eastAsia" w:hAnsi="宋体" w:cs="宋体"/>
                <w:sz w:val="24"/>
                <w:szCs w:val="24"/>
                <w:lang w:eastAsia="zh-CN"/>
              </w:rPr>
              <w:t>（提供合同复印件加盖公章）</w:t>
            </w:r>
          </w:p>
        </w:tc>
      </w:tr>
      <w:tr w14:paraId="115C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14:paraId="66023264">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default" w:ascii="宋体" w:hAnsi="宋体" w:eastAsia="宋体" w:cs="宋体"/>
                <w:sz w:val="24"/>
                <w:szCs w:val="24"/>
                <w:lang w:val="en-US" w:eastAsia="zh-CN"/>
              </w:rPr>
            </w:pPr>
            <w:r>
              <w:rPr>
                <w:rFonts w:hint="eastAsia" w:hAnsi="宋体" w:cs="宋体"/>
                <w:sz w:val="24"/>
                <w:szCs w:val="24"/>
                <w:lang w:val="en-US" w:eastAsia="zh-CN"/>
              </w:rPr>
              <w:t>4</w:t>
            </w:r>
          </w:p>
        </w:tc>
        <w:tc>
          <w:tcPr>
            <w:tcW w:w="1336" w:type="dxa"/>
            <w:noWrap w:val="0"/>
            <w:vAlign w:val="center"/>
          </w:tcPr>
          <w:p w14:paraId="7B3BFFB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cs="仿宋"/>
                <w:sz w:val="24"/>
                <w:szCs w:val="20"/>
              </w:rPr>
              <w:t>项目理解</w:t>
            </w:r>
          </w:p>
        </w:tc>
        <w:tc>
          <w:tcPr>
            <w:tcW w:w="765" w:type="dxa"/>
            <w:noWrap w:val="0"/>
            <w:vAlign w:val="center"/>
          </w:tcPr>
          <w:p w14:paraId="4A1DF882">
            <w:pPr>
              <w:widowControl/>
              <w:snapToGrid w:val="0"/>
              <w:spacing w:line="360" w:lineRule="auto"/>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6254" w:type="dxa"/>
            <w:noWrap w:val="0"/>
            <w:vAlign w:val="center"/>
          </w:tcPr>
          <w:p w14:paraId="186C4643">
            <w:pPr>
              <w:widowControl/>
              <w:snapToGrid w:val="0"/>
              <w:spacing w:line="360" w:lineRule="auto"/>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对工程特点、施工条件、合同工期作简要概述。评委对有效响应文件进行评审。针对概述是否全面、准确进行评分，优得10分；良得7分；中得4分；差的1分；未提供得0分。</w:t>
            </w:r>
          </w:p>
        </w:tc>
      </w:tr>
      <w:tr w14:paraId="7BC1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14:paraId="51009F90">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default" w:ascii="宋体" w:hAnsi="宋体" w:eastAsia="宋体" w:cs="宋体"/>
                <w:sz w:val="24"/>
                <w:szCs w:val="24"/>
                <w:lang w:val="en-US" w:eastAsia="zh-CN"/>
              </w:rPr>
            </w:pPr>
            <w:r>
              <w:rPr>
                <w:rFonts w:hint="eastAsia" w:hAnsi="宋体" w:cs="宋体"/>
                <w:sz w:val="24"/>
                <w:szCs w:val="24"/>
                <w:lang w:val="en-US" w:eastAsia="zh-CN"/>
              </w:rPr>
              <w:t>5</w:t>
            </w:r>
          </w:p>
        </w:tc>
        <w:tc>
          <w:tcPr>
            <w:tcW w:w="1336" w:type="dxa"/>
            <w:noWrap w:val="0"/>
            <w:vAlign w:val="center"/>
          </w:tcPr>
          <w:p w14:paraId="186EDC14">
            <w:pPr>
              <w:widowControl/>
              <w:snapToGrid w:val="0"/>
              <w:spacing w:line="360" w:lineRule="auto"/>
              <w:jc w:val="center"/>
              <w:textAlignment w:val="center"/>
              <w:rPr>
                <w:rFonts w:hint="eastAsia" w:ascii="宋体" w:hAnsi="宋体" w:eastAsia="宋体" w:cs="宋体"/>
                <w:sz w:val="24"/>
                <w:szCs w:val="24"/>
                <w:lang w:eastAsia="zh-CN"/>
              </w:rPr>
            </w:pPr>
            <w:r>
              <w:rPr>
                <w:rFonts w:hint="eastAsia" w:cs="仿宋"/>
                <w:color w:val="000000"/>
                <w:sz w:val="24"/>
                <w:szCs w:val="20"/>
              </w:rPr>
              <w:t>施工组织、施工方案</w:t>
            </w:r>
          </w:p>
        </w:tc>
        <w:tc>
          <w:tcPr>
            <w:tcW w:w="765" w:type="dxa"/>
            <w:noWrap w:val="0"/>
            <w:vAlign w:val="center"/>
          </w:tcPr>
          <w:p w14:paraId="26D4D64A">
            <w:pPr>
              <w:widowControl/>
              <w:snapToGrid w:val="0"/>
              <w:spacing w:line="360" w:lineRule="auto"/>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6254" w:type="dxa"/>
            <w:noWrap w:val="0"/>
            <w:vAlign w:val="center"/>
          </w:tcPr>
          <w:p w14:paraId="6A8AC2F2">
            <w:pPr>
              <w:widowControl/>
              <w:snapToGrid w:val="0"/>
              <w:spacing w:line="360" w:lineRule="auto"/>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明确项目人员配置、现场管理方案、关键技术工艺、重点难点分析解决方案等。评委对有效响应文件方案进行评审。针对方案是否合理进行评分，优得</w:t>
            </w:r>
            <w:r>
              <w:rPr>
                <w:rFonts w:hint="eastAsia" w:ascii="宋体" w:hAnsi="宋体" w:eastAsia="宋体" w:cs="宋体"/>
                <w:color w:val="auto"/>
                <w:kern w:val="2"/>
                <w:sz w:val="24"/>
                <w:szCs w:val="24"/>
                <w:lang w:val="en-US" w:eastAsia="zh-CN" w:bidi="ar-SA"/>
              </w:rPr>
              <w:t>10</w:t>
            </w:r>
            <w:r>
              <w:rPr>
                <w:rFonts w:hint="eastAsia" w:ascii="宋体" w:hAnsi="宋体" w:eastAsia="宋体" w:cs="宋体"/>
                <w:kern w:val="2"/>
                <w:sz w:val="24"/>
                <w:szCs w:val="24"/>
                <w:lang w:val="en-US" w:eastAsia="zh-CN" w:bidi="ar-SA"/>
              </w:rPr>
              <w:t>分；良得</w:t>
            </w:r>
            <w:r>
              <w:rPr>
                <w:rFonts w:hint="eastAsia" w:ascii="宋体" w:hAnsi="宋体" w:eastAsia="宋体" w:cs="宋体"/>
                <w:color w:val="auto"/>
                <w:kern w:val="2"/>
                <w:sz w:val="24"/>
                <w:szCs w:val="24"/>
                <w:lang w:val="en-US" w:eastAsia="zh-CN" w:bidi="ar-SA"/>
              </w:rPr>
              <w:t>7</w:t>
            </w:r>
            <w:r>
              <w:rPr>
                <w:rFonts w:hint="eastAsia" w:ascii="宋体" w:hAnsi="宋体" w:eastAsia="宋体" w:cs="宋体"/>
                <w:kern w:val="2"/>
                <w:sz w:val="24"/>
                <w:szCs w:val="24"/>
                <w:lang w:val="en-US" w:eastAsia="zh-CN" w:bidi="ar-SA"/>
              </w:rPr>
              <w:t>分；中得4分；差的1分；未提供得0分。</w:t>
            </w:r>
          </w:p>
        </w:tc>
      </w:tr>
      <w:tr w14:paraId="13BC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14:paraId="554BD6DF">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default" w:ascii="宋体" w:hAnsi="宋体" w:eastAsia="宋体" w:cs="宋体"/>
                <w:sz w:val="24"/>
                <w:szCs w:val="24"/>
                <w:lang w:val="en-US" w:eastAsia="zh-CN"/>
              </w:rPr>
            </w:pPr>
            <w:r>
              <w:rPr>
                <w:rFonts w:hint="eastAsia" w:hAnsi="宋体" w:cs="宋体"/>
                <w:sz w:val="24"/>
                <w:szCs w:val="24"/>
                <w:lang w:val="en-US" w:eastAsia="zh-CN"/>
              </w:rPr>
              <w:t>6</w:t>
            </w:r>
          </w:p>
        </w:tc>
        <w:tc>
          <w:tcPr>
            <w:tcW w:w="1336" w:type="dxa"/>
            <w:noWrap w:val="0"/>
            <w:vAlign w:val="center"/>
          </w:tcPr>
          <w:p w14:paraId="4CB21657">
            <w:pPr>
              <w:widowControl/>
              <w:snapToGrid w:val="0"/>
              <w:spacing w:line="360" w:lineRule="auto"/>
              <w:jc w:val="center"/>
              <w:textAlignment w:val="center"/>
              <w:rPr>
                <w:rFonts w:hint="eastAsia" w:ascii="宋体" w:hAnsi="宋体" w:eastAsia="宋体" w:cs="宋体"/>
                <w:sz w:val="24"/>
                <w:szCs w:val="24"/>
                <w:lang w:eastAsia="zh-CN"/>
              </w:rPr>
            </w:pPr>
            <w:r>
              <w:rPr>
                <w:rFonts w:hint="eastAsia" w:cs="仿宋"/>
                <w:color w:val="000000"/>
                <w:sz w:val="24"/>
                <w:szCs w:val="20"/>
              </w:rPr>
              <w:t>质量、安全、进度控制措施</w:t>
            </w:r>
          </w:p>
        </w:tc>
        <w:tc>
          <w:tcPr>
            <w:tcW w:w="765" w:type="dxa"/>
            <w:noWrap w:val="0"/>
            <w:vAlign w:val="center"/>
          </w:tcPr>
          <w:p w14:paraId="3DA76DA9">
            <w:pPr>
              <w:widowControl/>
              <w:snapToGrid w:val="0"/>
              <w:spacing w:line="360" w:lineRule="auto"/>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6254" w:type="dxa"/>
            <w:noWrap w:val="0"/>
            <w:vAlign w:val="center"/>
          </w:tcPr>
          <w:p w14:paraId="79B18DC6">
            <w:pPr>
              <w:widowControl/>
              <w:snapToGrid w:val="0"/>
              <w:spacing w:line="360" w:lineRule="auto"/>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保证措施，安全文明施工、施工现场污染防治措施及环境保护、进度控制措施，高空作业施工管理、安全保障措施。评委对有效响应文件进行评审。针对方案是否合理进行评分，优得10分；良得7分；中得4分；差的1分；未提供得0分。</w:t>
            </w:r>
          </w:p>
        </w:tc>
      </w:tr>
      <w:tr w14:paraId="1C6B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gridSpan w:val="2"/>
            <w:noWrap w:val="0"/>
            <w:vAlign w:val="center"/>
          </w:tcPr>
          <w:p w14:paraId="1FE33791">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765" w:type="dxa"/>
            <w:noWrap w:val="0"/>
            <w:vAlign w:val="center"/>
          </w:tcPr>
          <w:p w14:paraId="214E696C">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default" w:ascii="宋体" w:hAnsi="宋体" w:eastAsia="宋体" w:cs="宋体"/>
                <w:b/>
                <w:bCs/>
                <w:sz w:val="24"/>
                <w:szCs w:val="24"/>
                <w:lang w:val="en-US" w:eastAsia="zh-CN"/>
              </w:rPr>
            </w:pPr>
            <w:r>
              <w:rPr>
                <w:rFonts w:hint="eastAsia" w:hAnsi="宋体" w:cs="宋体"/>
                <w:b/>
                <w:bCs/>
                <w:sz w:val="24"/>
                <w:szCs w:val="24"/>
                <w:lang w:val="en-US" w:eastAsia="zh-CN"/>
              </w:rPr>
              <w:t>60</w:t>
            </w:r>
          </w:p>
        </w:tc>
        <w:tc>
          <w:tcPr>
            <w:tcW w:w="6254" w:type="dxa"/>
            <w:noWrap w:val="0"/>
            <w:vAlign w:val="center"/>
          </w:tcPr>
          <w:p w14:paraId="7F0DD2B4">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bl>
    <w:p w14:paraId="3320B4D1">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评委依据磋商文件载明的方法评分，评分四舍五入精确到小数点后两位。</w:t>
      </w:r>
    </w:p>
    <w:p w14:paraId="37C42353">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响应供应商按照</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评分标准表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中的打分要求及顺序提供相关材料，</w:t>
      </w:r>
      <w:r>
        <w:rPr>
          <w:rFonts w:hint="eastAsia" w:ascii="Times New Roman" w:hAnsi="Times New Roman" w:eastAsia="宋体" w:cs="宋体"/>
          <w:bCs/>
          <w:color w:val="000000"/>
          <w:kern w:val="0"/>
          <w:sz w:val="24"/>
          <w:szCs w:val="24"/>
        </w:rPr>
        <w:t>并请编制目录及页码，以最大限度的避免造成评委误判或漏判。</w:t>
      </w:r>
    </w:p>
    <w:p w14:paraId="1D0B7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bCs/>
          <w:color w:val="000000"/>
          <w:kern w:val="0"/>
          <w:sz w:val="24"/>
          <w:szCs w:val="24"/>
          <w:lang w:val="en-US" w:eastAsia="zh-CN"/>
        </w:rPr>
        <w:t>3</w:t>
      </w:r>
      <w:r>
        <w:rPr>
          <w:rFonts w:hint="eastAsia" w:ascii="Times New Roman" w:hAnsi="Times New Roman" w:eastAsia="宋体" w:cs="宋体"/>
          <w:bCs/>
          <w:color w:val="000000"/>
          <w:kern w:val="0"/>
          <w:sz w:val="24"/>
          <w:szCs w:val="24"/>
          <w:lang w:eastAsia="zh-CN"/>
        </w:rPr>
        <w:t>、</w:t>
      </w:r>
      <w:r>
        <w:rPr>
          <w:rFonts w:hint="eastAsia" w:ascii="Times New Roman" w:hAnsi="Times New Roman" w:eastAsia="宋体" w:cs="宋体"/>
          <w:b/>
          <w:sz w:val="24"/>
          <w:szCs w:val="24"/>
        </w:rPr>
        <w:t>以上证明材料提供原件复印件，复印件不清晰或关键内容无法辨识所引起的后果由响应供应商自行承担。</w:t>
      </w:r>
    </w:p>
    <w:p w14:paraId="5A1E0713">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w:t>
      </w:r>
      <w:r>
        <w:rPr>
          <w:rFonts w:hint="eastAsia" w:ascii="Times New Roman" w:hAnsi="Times New Roman" w:eastAsia="宋体" w:cs="宋体"/>
          <w:b/>
          <w:bCs/>
          <w:szCs w:val="24"/>
          <w:shd w:val="clear" w:color="auto" w:fill="FFFFFF"/>
          <w:lang w:val="zh-CN"/>
        </w:rPr>
        <w:t>价格分</w:t>
      </w:r>
      <w:r>
        <w:rPr>
          <w:rFonts w:hint="eastAsia" w:ascii="Times New Roman" w:hAnsi="Times New Roman" w:eastAsia="宋体" w:cs="宋体"/>
          <w:b/>
          <w:bCs/>
          <w:szCs w:val="24"/>
          <w:shd w:val="clear" w:color="auto" w:fill="FFFFFF"/>
        </w:rPr>
        <w:t>：</w:t>
      </w:r>
      <w:r>
        <w:rPr>
          <w:rFonts w:hint="eastAsia" w:ascii="Times New Roman" w:hAnsi="Times New Roman" w:cs="宋体"/>
          <w:b/>
          <w:bCs/>
          <w:szCs w:val="24"/>
          <w:shd w:val="clear" w:color="auto" w:fill="FFFFFF"/>
          <w:lang w:val="en-US" w:eastAsia="zh-CN"/>
        </w:rPr>
        <w:t>40</w:t>
      </w:r>
      <w:r>
        <w:rPr>
          <w:rFonts w:hint="eastAsia" w:ascii="Times New Roman" w:hAnsi="Times New Roman" w:eastAsia="宋体" w:cs="宋体"/>
          <w:b/>
          <w:bCs/>
          <w:szCs w:val="24"/>
          <w:shd w:val="clear" w:color="auto" w:fill="FFFFFF"/>
        </w:rPr>
        <w:t>分</w:t>
      </w:r>
    </w:p>
    <w:p w14:paraId="245A5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14:paraId="76BF07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40</w:t>
      </w:r>
      <w:r>
        <w:rPr>
          <w:rFonts w:hint="eastAsia" w:ascii="Times New Roman" w:hAnsi="Times New Roman" w:eastAsia="宋体" w:cs="宋体"/>
          <w:sz w:val="24"/>
          <w:szCs w:val="24"/>
        </w:rPr>
        <w:t>%×100。</w:t>
      </w:r>
    </w:p>
    <w:p w14:paraId="2468356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14:paraId="73B8BDCD">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五、出现下列情形之一的，作无效标处理</w:t>
      </w:r>
    </w:p>
    <w:p w14:paraId="7D9A84F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14:paraId="16FF7D5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14:paraId="491C1A2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14:paraId="6BBBF42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14:paraId="4A3157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14:paraId="7F36F42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14:paraId="1C44816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14:paraId="7A045F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14:paraId="0AF129C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9</w:t>
      </w:r>
      <w:r>
        <w:rPr>
          <w:rFonts w:hint="eastAsia" w:ascii="Times New Roman" w:hAnsi="Times New Roman" w:eastAsia="宋体" w:cs="宋体"/>
          <w:sz w:val="24"/>
          <w:szCs w:val="24"/>
        </w:rPr>
        <w:t>、不符合法律、法规和磋商文件中规定的其他实质性响应要求的；</w:t>
      </w:r>
    </w:p>
    <w:p w14:paraId="6E7BCF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10</w:t>
      </w:r>
      <w:r>
        <w:rPr>
          <w:rFonts w:hint="eastAsia" w:ascii="Times New Roman" w:hAnsi="Times New Roman" w:eastAsia="宋体" w:cs="宋体"/>
          <w:sz w:val="24"/>
          <w:szCs w:val="24"/>
        </w:rPr>
        <w:t>、磋商小组依据法律法规可以认定为无效投标的其他情况；</w:t>
      </w:r>
    </w:p>
    <w:p w14:paraId="3A4ADD1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11</w:t>
      </w:r>
      <w:r>
        <w:rPr>
          <w:rFonts w:hint="eastAsia" w:ascii="Times New Roman" w:hAnsi="Times New Roman" w:eastAsia="宋体" w:cs="宋体"/>
          <w:sz w:val="24"/>
          <w:szCs w:val="24"/>
        </w:rPr>
        <w:t>、未按要求提供样品的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14:paraId="36318B7E">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六、出现下列情形之一的，作废标处理</w:t>
      </w:r>
    </w:p>
    <w:p w14:paraId="3ECB86C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14:paraId="53B9483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14:paraId="131421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14:paraId="55BAF17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14:paraId="120E179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14:paraId="6EF56F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14:paraId="40BC6075">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七、成交通知</w:t>
      </w:r>
    </w:p>
    <w:p w14:paraId="445B326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w w:val="80"/>
          <w:kern w:val="44"/>
          <w:sz w:val="48"/>
          <w:szCs w:val="4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14:paraId="2E7DC26F">
      <w:pPr>
        <w:rPr>
          <w:rFonts w:hint="eastAsia" w:ascii="Times New Roman" w:hAnsi="Times New Roman" w:eastAsia="宋体" w:cs="宋体"/>
          <w:w w:val="80"/>
          <w:sz w:val="48"/>
          <w:szCs w:val="44"/>
        </w:rPr>
      </w:pPr>
      <w:r>
        <w:rPr>
          <w:rFonts w:hint="eastAsia" w:ascii="Times New Roman" w:hAnsi="Times New Roman" w:eastAsia="宋体" w:cs="宋体"/>
          <w:w w:val="80"/>
          <w:sz w:val="48"/>
          <w:szCs w:val="44"/>
        </w:rPr>
        <w:br w:type="page"/>
      </w:r>
    </w:p>
    <w:p w14:paraId="2F8BD58D">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14:paraId="1BDD6E4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kern w:val="0"/>
          <w:sz w:val="24"/>
          <w:lang w:eastAsia="zh-CN"/>
        </w:rPr>
        <w:t>后</w:t>
      </w:r>
      <w:r>
        <w:rPr>
          <w:rFonts w:hint="eastAsia" w:ascii="Times New Roman" w:hAnsi="Times New Roman" w:eastAsia="宋体" w:cs="宋体"/>
          <w:b w:val="0"/>
          <w:bCs w:val="0"/>
          <w:color w:val="auto"/>
          <w:kern w:val="0"/>
          <w:sz w:val="24"/>
          <w:lang w:val="en-US" w:eastAsia="zh-CN"/>
        </w:rPr>
        <w:t>15个工作日</w:t>
      </w:r>
      <w:r>
        <w:rPr>
          <w:rFonts w:hint="eastAsia" w:ascii="Times New Roman" w:hAnsi="Times New Roman" w:eastAsia="宋体" w:cs="宋体"/>
          <w:b w:val="0"/>
          <w:bCs w:val="0"/>
          <w:color w:val="auto"/>
          <w:kern w:val="0"/>
          <w:sz w:val="24"/>
        </w:rPr>
        <w:t>内</w:t>
      </w:r>
      <w:r>
        <w:rPr>
          <w:rFonts w:hint="eastAsia" w:ascii="Times New Roman" w:hAnsi="Times New Roman" w:eastAsia="宋体" w:cs="宋体"/>
          <w:b w:val="0"/>
          <w:bCs w:val="0"/>
          <w:kern w:val="0"/>
          <w:sz w:val="24"/>
        </w:rPr>
        <w:t>须按</w:t>
      </w:r>
      <w:r>
        <w:rPr>
          <w:rFonts w:hint="eastAsia" w:ascii="Times New Roman" w:hAnsi="Times New Roman" w:eastAsia="宋体" w:cs="宋体"/>
          <w:kern w:val="0"/>
          <w:sz w:val="24"/>
        </w:rPr>
        <w:t>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14:paraId="5199913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w:t>
      </w:r>
      <w:r>
        <w:rPr>
          <w:rFonts w:hint="eastAsia" w:ascii="Times New Roman" w:hAnsi="Times New Roman" w:eastAsia="宋体" w:cs="宋体"/>
          <w:sz w:val="24"/>
        </w:rPr>
        <w:t>采购单位按合同约定积极配合成交供应商履约，成交供应商履约到位后，请以书面形式向采购单位提出验收申请。</w:t>
      </w:r>
    </w:p>
    <w:p w14:paraId="0E6273A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3E11C22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14:paraId="3BE0838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14:paraId="49FAB9DA">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14:paraId="0A34851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14:paraId="041D2EF8">
      <w:pPr>
        <w:keepNext w:val="0"/>
        <w:keepLines w:val="0"/>
        <w:pageBreakBefore w:val="0"/>
        <w:widowControl w:val="0"/>
        <w:kinsoku/>
        <w:wordWrap/>
        <w:topLinePunct w:val="0"/>
        <w:autoSpaceDE/>
        <w:autoSpaceDN/>
        <w:bidi w:val="0"/>
        <w:spacing w:line="360" w:lineRule="auto"/>
        <w:rPr>
          <w:rFonts w:ascii="Times New Roman" w:hAnsi="Times New Roman" w:eastAsia="宋体"/>
          <w:w w:val="80"/>
          <w:kern w:val="44"/>
        </w:rPr>
      </w:pPr>
    </w:p>
    <w:p w14:paraId="02B06A59">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14:paraId="1F2F9180">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14:paraId="3A85BE21">
      <w:pPr>
        <w:keepNext w:val="0"/>
        <w:keepLines w:val="0"/>
        <w:pageBreakBefore w:val="0"/>
        <w:wordWrap/>
        <w:bidi w:val="0"/>
        <w:adjustRightInd w:val="0"/>
        <w:snapToGrid w:val="0"/>
        <w:spacing w:line="360" w:lineRule="auto"/>
        <w:ind w:firstLine="487" w:firstLineChars="202"/>
        <w:rPr>
          <w:rFonts w:ascii="Times New Roman" w:hAnsi="Times New Roman"/>
          <w:b/>
          <w:sz w:val="24"/>
          <w:szCs w:val="24"/>
          <w:highlight w:val="none"/>
        </w:rPr>
      </w:pPr>
      <w:r>
        <w:rPr>
          <w:rFonts w:ascii="Times New Roman" w:hAnsi="Times New Roman"/>
          <w:b/>
          <w:sz w:val="24"/>
          <w:szCs w:val="24"/>
          <w:highlight w:val="none"/>
        </w:rPr>
        <w:t>一、质疑的提出</w:t>
      </w:r>
    </w:p>
    <w:p w14:paraId="37D7A45C">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1、提出质疑的供应商应当是参与所质疑项目采购活动的供应商。潜在供应商依法获取其可质疑的采购文件的，可以对采购文件提出质疑。</w:t>
      </w:r>
    </w:p>
    <w:p w14:paraId="6EDCFC04">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2、供应商认为采购文件、采购过程和采购结果使自己的权益受到损害的，可以在知道或应知其权益受到损害之日起七个工作日内，以书面形式向采购人提出质疑。上述应知其权益受到损害之日，是指：</w:t>
      </w:r>
    </w:p>
    <w:p w14:paraId="37ED6BF3">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2.1对可以质疑的采购文件提出质疑的，为收到采购文件之日或者采购文件公告期限届满之日；</w:t>
      </w:r>
    </w:p>
    <w:p w14:paraId="72C3CBAF">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2.2对采购过程提出质疑的，为各采购程序环节结束之日；</w:t>
      </w:r>
    </w:p>
    <w:p w14:paraId="36F94F60">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2.3对成交结果提出质疑的，为成交结果公告期限届满之日。</w:t>
      </w:r>
    </w:p>
    <w:p w14:paraId="3365F3AA">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供应商应当在法定质疑期内一次性提出针对同一采购程序环节的质疑。</w:t>
      </w:r>
    </w:p>
    <w:p w14:paraId="3FD439BD">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3、质疑函必须按照本</w:t>
      </w:r>
      <w:r>
        <w:rPr>
          <w:rFonts w:hint="eastAsia" w:ascii="Times New Roman" w:hAnsi="Times New Roman" w:cs="黑体"/>
          <w:bCs/>
          <w:sz w:val="24"/>
          <w:szCs w:val="24"/>
          <w:highlight w:val="none"/>
          <w:shd w:val="clear" w:color="auto" w:fill="FFFFFF"/>
        </w:rPr>
        <w:t>采购</w:t>
      </w:r>
      <w:r>
        <w:rPr>
          <w:rFonts w:hint="eastAsia" w:ascii="Times New Roman" w:hAnsi="Times New Roman"/>
          <w:sz w:val="24"/>
          <w:szCs w:val="24"/>
          <w:highlight w:val="none"/>
        </w:rPr>
        <w:t>文件中《质疑函范本》要求的格式和内容进行填写。供应商如组成联合体参加采购活动，则《质疑函范本》中要求签字、盖章、加盖公章之处，联合体各方均须按要求签字、盖章、加盖公章。</w:t>
      </w:r>
    </w:p>
    <w:p w14:paraId="453DCEB2">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4、对采购方式、</w:t>
      </w:r>
      <w:r>
        <w:rPr>
          <w:rFonts w:hint="eastAsia" w:ascii="Times New Roman" w:hAnsi="Times New Roman" w:cs="黑体"/>
          <w:bCs/>
          <w:sz w:val="24"/>
          <w:szCs w:val="24"/>
          <w:highlight w:val="none"/>
          <w:shd w:val="clear" w:color="auto" w:fill="FFFFFF"/>
        </w:rPr>
        <w:t>采购</w:t>
      </w:r>
      <w:r>
        <w:rPr>
          <w:rFonts w:hint="eastAsia" w:ascii="Times New Roman" w:hAnsi="Times New Roman"/>
          <w:sz w:val="24"/>
          <w:szCs w:val="24"/>
          <w:highlight w:val="none"/>
        </w:rPr>
        <w:t>文件中项目需求、供应商资格条件、评审方法和评审标准、资格审查结果等应当由采购人答复的质疑，请向采购人提出，由采购人负责答复。</w:t>
      </w:r>
    </w:p>
    <w:p w14:paraId="7422B9E7">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采购人质疑接收人及联系方式，见</w:t>
      </w:r>
      <w:r>
        <w:rPr>
          <w:rFonts w:hint="eastAsia" w:ascii="Times New Roman" w:hAnsi="Times New Roman" w:cs="黑体"/>
          <w:bCs/>
          <w:sz w:val="24"/>
          <w:szCs w:val="24"/>
          <w:highlight w:val="none"/>
          <w:shd w:val="clear" w:color="auto" w:fill="FFFFFF"/>
        </w:rPr>
        <w:t>采购</w:t>
      </w:r>
      <w:r>
        <w:rPr>
          <w:rFonts w:hint="eastAsia" w:ascii="Times New Roman" w:hAnsi="Times New Roman"/>
          <w:sz w:val="24"/>
          <w:szCs w:val="24"/>
          <w:highlight w:val="none"/>
        </w:rPr>
        <w:t>文件第一章。</w:t>
      </w:r>
    </w:p>
    <w:p w14:paraId="0FDB4E5E">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5、 以下情形的质疑不予受理</w:t>
      </w:r>
    </w:p>
    <w:p w14:paraId="47503017">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5.1 内容不符合《政府采购质疑和投诉办法》财政部第94号令第十二条规定的质疑。</w:t>
      </w:r>
    </w:p>
    <w:p w14:paraId="5AB7AEB6">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5.2 超出政府采购法定期限的质疑。</w:t>
      </w:r>
    </w:p>
    <w:p w14:paraId="777BCE32">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5.3 未参加采购活动的供应商。</w:t>
      </w:r>
    </w:p>
    <w:p w14:paraId="4858754F">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5.4供应商组成联合体参加采购活动，联合体中任何一方或多方未按要求签字、盖章、加盖公章的质疑。</w:t>
      </w:r>
    </w:p>
    <w:p w14:paraId="027A3C29">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5E8716E">
      <w:pPr>
        <w:keepNext w:val="0"/>
        <w:keepLines w:val="0"/>
        <w:pageBreakBefore w:val="0"/>
        <w:wordWrap/>
        <w:bidi w:val="0"/>
        <w:spacing w:after="120" w:line="360" w:lineRule="auto"/>
        <w:rPr>
          <w:rFonts w:ascii="Times New Roman" w:hAnsi="Times New Roman"/>
          <w:szCs w:val="21"/>
          <w:highlight w:val="none"/>
        </w:rPr>
      </w:pPr>
      <w:r>
        <w:rPr>
          <w:rFonts w:ascii="Times New Roman" w:hAnsi="Times New Roman"/>
          <w:highlight w:val="none"/>
        </w:rPr>
        <w:br w:type="page"/>
      </w:r>
      <w:r>
        <w:rPr>
          <w:rFonts w:hint="eastAsia" w:ascii="Times New Roman" w:hAnsi="Times New Roman"/>
          <w:szCs w:val="21"/>
          <w:highlight w:val="none"/>
        </w:rPr>
        <w:t>附件：</w:t>
      </w:r>
    </w:p>
    <w:p w14:paraId="18ED59F4">
      <w:pPr>
        <w:keepNext w:val="0"/>
        <w:keepLines w:val="0"/>
        <w:pageBreakBefore w:val="0"/>
        <w:wordWrap/>
        <w:bidi w:val="0"/>
        <w:spacing w:line="360" w:lineRule="auto"/>
        <w:jc w:val="center"/>
        <w:rPr>
          <w:rFonts w:ascii="Times New Roman" w:hAnsi="Times New Roman" w:cs="仿宋"/>
          <w:bCs/>
          <w:sz w:val="24"/>
          <w:szCs w:val="24"/>
          <w:highlight w:val="none"/>
        </w:rPr>
      </w:pPr>
      <w:r>
        <w:rPr>
          <w:rFonts w:hint="eastAsia" w:ascii="Times New Roman" w:hAnsi="Times New Roman" w:cs="仿宋"/>
          <w:bCs/>
          <w:sz w:val="24"/>
          <w:szCs w:val="24"/>
          <w:highlight w:val="none"/>
        </w:rPr>
        <w:t>质疑函范本</w:t>
      </w:r>
    </w:p>
    <w:p w14:paraId="31FAEC42">
      <w:pPr>
        <w:keepNext w:val="0"/>
        <w:keepLines w:val="0"/>
        <w:pageBreakBefore w:val="0"/>
        <w:wordWrap/>
        <w:bidi w:val="0"/>
        <w:adjustRightInd w:val="0"/>
        <w:snapToGrid w:val="0"/>
        <w:spacing w:before="312" w:beforeLines="100" w:line="360" w:lineRule="auto"/>
        <w:rPr>
          <w:rFonts w:ascii="Times New Roman" w:hAnsi="Times New Roman" w:cs="仿宋"/>
          <w:bCs/>
          <w:sz w:val="24"/>
          <w:szCs w:val="24"/>
          <w:highlight w:val="none"/>
        </w:rPr>
      </w:pPr>
      <w:r>
        <w:rPr>
          <w:rFonts w:hint="eastAsia" w:ascii="Times New Roman" w:hAnsi="Times New Roman" w:cs="仿宋"/>
          <w:bCs/>
          <w:sz w:val="24"/>
          <w:szCs w:val="24"/>
          <w:highlight w:val="none"/>
        </w:rPr>
        <w:t>一、质疑供应商基本信息</w:t>
      </w:r>
    </w:p>
    <w:p w14:paraId="3A2DA37C">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质疑供应商：</w:t>
      </w:r>
    </w:p>
    <w:p w14:paraId="059369A2">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地址：邮编：</w:t>
      </w:r>
    </w:p>
    <w:p w14:paraId="11573581">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联系人：联系电话：</w:t>
      </w:r>
    </w:p>
    <w:p w14:paraId="371C4B9A">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授权代表：</w:t>
      </w:r>
    </w:p>
    <w:p w14:paraId="5EFA906F">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联系电话：</w:t>
      </w:r>
    </w:p>
    <w:p w14:paraId="478705D9">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地址：邮编：</w:t>
      </w:r>
    </w:p>
    <w:p w14:paraId="2C73849D">
      <w:pPr>
        <w:keepNext w:val="0"/>
        <w:keepLines w:val="0"/>
        <w:pageBreakBefore w:val="0"/>
        <w:wordWrap/>
        <w:bidi w:val="0"/>
        <w:adjustRightInd w:val="0"/>
        <w:snapToGrid w:val="0"/>
        <w:spacing w:line="360" w:lineRule="auto"/>
        <w:rPr>
          <w:rFonts w:ascii="Times New Roman" w:hAnsi="Times New Roman" w:cs="仿宋"/>
          <w:bCs/>
          <w:sz w:val="24"/>
          <w:szCs w:val="24"/>
          <w:highlight w:val="none"/>
        </w:rPr>
      </w:pPr>
      <w:r>
        <w:rPr>
          <w:rFonts w:hint="eastAsia" w:ascii="Times New Roman" w:hAnsi="Times New Roman" w:cs="仿宋"/>
          <w:bCs/>
          <w:sz w:val="24"/>
          <w:szCs w:val="24"/>
          <w:highlight w:val="none"/>
        </w:rPr>
        <w:t>二、质疑项目基本情况</w:t>
      </w:r>
    </w:p>
    <w:p w14:paraId="6A4D34E7">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质疑项目的名称：</w:t>
      </w:r>
    </w:p>
    <w:p w14:paraId="12CC5AAD">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质疑项目的编号：包号：</w:t>
      </w:r>
    </w:p>
    <w:p w14:paraId="59742146">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采购人名称：</w:t>
      </w:r>
    </w:p>
    <w:p w14:paraId="57AD400D">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采购文件获取日期：</w:t>
      </w:r>
    </w:p>
    <w:p w14:paraId="2BA08E83">
      <w:pPr>
        <w:keepNext w:val="0"/>
        <w:keepLines w:val="0"/>
        <w:pageBreakBefore w:val="0"/>
        <w:wordWrap/>
        <w:bidi w:val="0"/>
        <w:adjustRightInd w:val="0"/>
        <w:snapToGrid w:val="0"/>
        <w:spacing w:line="360" w:lineRule="auto"/>
        <w:rPr>
          <w:rFonts w:ascii="Times New Roman" w:hAnsi="Times New Roman" w:cs="仿宋"/>
          <w:bCs/>
          <w:sz w:val="24"/>
          <w:szCs w:val="24"/>
          <w:highlight w:val="none"/>
        </w:rPr>
      </w:pPr>
      <w:r>
        <w:rPr>
          <w:rFonts w:hint="eastAsia" w:ascii="Times New Roman" w:hAnsi="Times New Roman" w:cs="仿宋"/>
          <w:bCs/>
          <w:sz w:val="24"/>
          <w:szCs w:val="24"/>
          <w:highlight w:val="none"/>
        </w:rPr>
        <w:t>三、质疑事项具体内容</w:t>
      </w:r>
    </w:p>
    <w:p w14:paraId="30F2DB2A">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质疑事项1：</w:t>
      </w:r>
    </w:p>
    <w:p w14:paraId="58F90407">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事实依据：</w:t>
      </w:r>
    </w:p>
    <w:p w14:paraId="7B6F2CBA">
      <w:pPr>
        <w:keepNext w:val="0"/>
        <w:keepLines w:val="0"/>
        <w:pageBreakBefore w:val="0"/>
        <w:wordWrap/>
        <w:bidi w:val="0"/>
        <w:adjustRightInd w:val="0"/>
        <w:snapToGrid w:val="0"/>
        <w:spacing w:line="360" w:lineRule="auto"/>
        <w:rPr>
          <w:rFonts w:ascii="Times New Roman" w:hAnsi="Times New Roman" w:cs="仿宋"/>
          <w:sz w:val="24"/>
          <w:szCs w:val="24"/>
          <w:highlight w:val="none"/>
        </w:rPr>
      </w:pPr>
    </w:p>
    <w:p w14:paraId="263F3E71">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法律依据：</w:t>
      </w:r>
    </w:p>
    <w:p w14:paraId="71A5AD78">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p>
    <w:p w14:paraId="4B168C3F">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质疑事项2</w:t>
      </w:r>
    </w:p>
    <w:p w14:paraId="1047AD0A">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w:t>
      </w:r>
    </w:p>
    <w:p w14:paraId="36028A73">
      <w:pPr>
        <w:keepNext w:val="0"/>
        <w:keepLines w:val="0"/>
        <w:pageBreakBefore w:val="0"/>
        <w:wordWrap/>
        <w:bidi w:val="0"/>
        <w:adjustRightInd w:val="0"/>
        <w:snapToGrid w:val="0"/>
        <w:spacing w:line="360" w:lineRule="auto"/>
        <w:rPr>
          <w:rFonts w:ascii="Times New Roman" w:hAnsi="Times New Roman" w:cs="仿宋"/>
          <w:bCs/>
          <w:sz w:val="24"/>
          <w:szCs w:val="24"/>
          <w:highlight w:val="none"/>
        </w:rPr>
      </w:pPr>
      <w:r>
        <w:rPr>
          <w:rFonts w:hint="eastAsia" w:ascii="Times New Roman" w:hAnsi="Times New Roman" w:cs="仿宋"/>
          <w:bCs/>
          <w:sz w:val="24"/>
          <w:szCs w:val="24"/>
          <w:highlight w:val="none"/>
        </w:rPr>
        <w:t>四、与质疑事项相关的质疑请求</w:t>
      </w:r>
    </w:p>
    <w:p w14:paraId="20C43FF3">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请求：</w:t>
      </w:r>
    </w:p>
    <w:p w14:paraId="27D8B1B5">
      <w:pPr>
        <w:keepNext w:val="0"/>
        <w:keepLines w:val="0"/>
        <w:pageBreakBefore w:val="0"/>
        <w:wordWrap/>
        <w:bidi w:val="0"/>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签字(签章)：                   公章：                      </w:t>
      </w:r>
    </w:p>
    <w:p w14:paraId="07BB7C65">
      <w:pPr>
        <w:keepNext w:val="0"/>
        <w:keepLines w:val="0"/>
        <w:pageBreakBefore w:val="0"/>
        <w:wordWrap/>
        <w:bidi w:val="0"/>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日期：    </w:t>
      </w:r>
    </w:p>
    <w:p w14:paraId="5A03D8E1">
      <w:pPr>
        <w:keepNext w:val="0"/>
        <w:keepLines w:val="0"/>
        <w:pageBreakBefore w:val="0"/>
        <w:wordWrap/>
        <w:bidi w:val="0"/>
        <w:adjustRightInd w:val="0"/>
        <w:snapToGrid w:val="0"/>
        <w:spacing w:line="360" w:lineRule="auto"/>
        <w:rPr>
          <w:rFonts w:ascii="Times New Roman" w:hAnsi="Times New Roman" w:cs="仿宋"/>
          <w:sz w:val="24"/>
          <w:szCs w:val="24"/>
          <w:highlight w:val="none"/>
        </w:rPr>
      </w:pPr>
    </w:p>
    <w:p w14:paraId="5BE312B0">
      <w:pPr>
        <w:keepNext w:val="0"/>
        <w:keepLines w:val="0"/>
        <w:pageBreakBefore w:val="0"/>
        <w:wordWrap/>
        <w:bidi w:val="0"/>
        <w:spacing w:line="360" w:lineRule="auto"/>
        <w:rPr>
          <w:rFonts w:ascii="Times New Roman" w:hAnsi="Times New Roman"/>
          <w:b/>
          <w:sz w:val="24"/>
          <w:szCs w:val="24"/>
          <w:highlight w:val="none"/>
        </w:rPr>
      </w:pPr>
    </w:p>
    <w:p w14:paraId="7AB4BB50">
      <w:pPr>
        <w:keepNext w:val="0"/>
        <w:keepLines w:val="0"/>
        <w:pageBreakBefore w:val="0"/>
        <w:wordWrap/>
        <w:bidi w:val="0"/>
        <w:spacing w:line="360" w:lineRule="auto"/>
        <w:jc w:val="left"/>
        <w:rPr>
          <w:rFonts w:ascii="Times New Roman" w:hAnsi="Times New Roman"/>
          <w:b/>
          <w:sz w:val="24"/>
          <w:szCs w:val="24"/>
          <w:highlight w:val="none"/>
        </w:rPr>
      </w:pPr>
      <w:r>
        <w:rPr>
          <w:rFonts w:ascii="Times New Roman" w:hAnsi="Times New Roman"/>
          <w:b/>
          <w:sz w:val="24"/>
          <w:szCs w:val="24"/>
          <w:highlight w:val="none"/>
        </w:rPr>
        <w:br w:type="page"/>
      </w:r>
    </w:p>
    <w:p w14:paraId="50FCFBD3">
      <w:pPr>
        <w:keepNext w:val="0"/>
        <w:keepLines w:val="0"/>
        <w:pageBreakBefore w:val="0"/>
        <w:wordWrap/>
        <w:bidi w:val="0"/>
        <w:spacing w:line="360" w:lineRule="auto"/>
        <w:jc w:val="left"/>
        <w:rPr>
          <w:rFonts w:ascii="Times New Roman" w:hAnsi="Times New Roman"/>
          <w:b/>
          <w:sz w:val="24"/>
          <w:szCs w:val="24"/>
          <w:highlight w:val="none"/>
        </w:rPr>
      </w:pPr>
      <w:r>
        <w:rPr>
          <w:rFonts w:hint="eastAsia" w:ascii="Times New Roman" w:hAnsi="Times New Roman"/>
          <w:b/>
          <w:sz w:val="24"/>
          <w:szCs w:val="24"/>
          <w:highlight w:val="none"/>
        </w:rPr>
        <w:t>质疑函制作说明：</w:t>
      </w:r>
    </w:p>
    <w:p w14:paraId="501C55F3">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1、供应商提出质疑时，应提交质疑函和必要的证明材料。</w:t>
      </w:r>
    </w:p>
    <w:p w14:paraId="034555C5">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2、质疑供应商若委托代理人进行质疑的，质疑函应按要求列明“授权代表”的有关内容，并在附件中提交由质疑</w:t>
      </w:r>
      <w:r>
        <w:rPr>
          <w:rFonts w:hint="eastAsia" w:ascii="Times New Roman" w:hAnsi="Times New Roman" w:cs="宋体"/>
          <w:kern w:val="0"/>
          <w:sz w:val="24"/>
          <w:szCs w:val="24"/>
          <w:highlight w:val="none"/>
        </w:rPr>
        <w:t>供应商签署的授权委托书。授权委托书应载明代理人的姓名或者名称、代理事项、具体权限、期限和相关事项。</w:t>
      </w:r>
    </w:p>
    <w:p w14:paraId="5417C015">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3、质疑供应商若对项目的某一分包进行质疑，质疑函中应列明具体分包号。</w:t>
      </w:r>
    </w:p>
    <w:p w14:paraId="7619B8C7">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4、质疑函的质疑事项应具体、明确，并有必要的事实依据和法律依据。</w:t>
      </w:r>
    </w:p>
    <w:p w14:paraId="07EB8184">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5、质疑函的质疑请求应与质疑事项相关。</w:t>
      </w:r>
    </w:p>
    <w:p w14:paraId="614145E0">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sz w:val="24"/>
          <w:szCs w:val="24"/>
          <w:highlight w:val="none"/>
        </w:rPr>
        <w:t>。</w:t>
      </w:r>
    </w:p>
    <w:p w14:paraId="10C18DFA">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14:paraId="5C7EB916">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14:paraId="12373B11">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14:paraId="45F8B46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14:paraId="4B081E8D">
      <w:pPr>
        <w:spacing w:line="360" w:lineRule="auto"/>
        <w:ind w:firstLine="480" w:firstLineChars="200"/>
        <w:textAlignment w:val="baseline"/>
        <w:rPr>
          <w:rFonts w:hint="eastAsia" w:ascii="Times New Roman" w:hAnsi="Times New Roman" w:eastAsia="宋体"/>
          <w:sz w:val="24"/>
          <w:szCs w:val="24"/>
          <w:lang w:eastAsia="zh-CN"/>
        </w:rPr>
      </w:pPr>
      <w:r>
        <w:rPr>
          <w:rFonts w:hint="eastAsia" w:ascii="Times New Roman" w:hAnsi="Times New Roman" w:eastAsia="宋体"/>
          <w:sz w:val="24"/>
          <w:szCs w:val="24"/>
        </w:rPr>
        <w:t>1、</w:t>
      </w:r>
      <w:r>
        <w:rPr>
          <w:rFonts w:hint="eastAsia" w:ascii="Times New Roman" w:hAnsi="Times New Roman" w:eastAsia="宋体"/>
          <w:bCs/>
          <w:sz w:val="24"/>
          <w:szCs w:val="24"/>
        </w:rPr>
        <w:t>供应商</w:t>
      </w:r>
      <w:r>
        <w:rPr>
          <w:rFonts w:hint="eastAsia" w:ascii="Times New Roman" w:hAnsi="Times New Roman" w:eastAsia="宋体"/>
          <w:bCs/>
          <w:sz w:val="24"/>
          <w:szCs w:val="24"/>
          <w:lang w:eastAsia="zh-CN"/>
        </w:rPr>
        <w:t>是</w:t>
      </w:r>
      <w:r>
        <w:rPr>
          <w:rFonts w:hint="eastAsia" w:ascii="Times New Roman" w:hAnsi="Times New Roman" w:eastAsia="宋体"/>
          <w:bCs/>
          <w:sz w:val="24"/>
          <w:szCs w:val="24"/>
        </w:rPr>
        <w:t>具有独立承担民事责任能力</w:t>
      </w:r>
      <w:r>
        <w:rPr>
          <w:rFonts w:hint="eastAsia" w:ascii="Times New Roman" w:hAnsi="Times New Roman" w:eastAsia="宋体"/>
          <w:bCs/>
          <w:sz w:val="24"/>
          <w:szCs w:val="24"/>
          <w:lang w:eastAsia="zh-CN"/>
        </w:rPr>
        <w:t>的消防服务单位</w:t>
      </w:r>
      <w:r>
        <w:rPr>
          <w:rFonts w:hint="eastAsia" w:ascii="Times New Roman" w:hAnsi="Times New Roman" w:eastAsia="宋体"/>
          <w:bCs/>
          <w:sz w:val="24"/>
          <w:szCs w:val="24"/>
        </w:rPr>
        <w:t>，提供法人或者其他组织的营业执照等证明文件</w:t>
      </w:r>
      <w:r>
        <w:rPr>
          <w:rFonts w:hint="eastAsia" w:ascii="Times New Roman" w:hAnsi="Times New Roman" w:eastAsia="宋体"/>
          <w:sz w:val="24"/>
          <w:szCs w:val="24"/>
          <w:lang w:eastAsia="zh-CN"/>
        </w:rPr>
        <w:t>；</w:t>
      </w:r>
    </w:p>
    <w:p w14:paraId="6354770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的，必须提供法定代表人身份证明及法定代表人本人身份证两项复印件（须加盖单位公章）；非法定代表人参加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的，必须提供法定代表人签字或印章的授权委托书及被授权人本人身份证两项复印件；（须加盖单位公章）</w:t>
      </w:r>
    </w:p>
    <w:p w14:paraId="31CC6D8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14:paraId="3D2AF66D">
      <w:pPr>
        <w:spacing w:line="360" w:lineRule="auto"/>
        <w:ind w:firstLine="480" w:firstLineChars="200"/>
        <w:textAlignment w:val="baseline"/>
        <w:rPr>
          <w:rFonts w:ascii="Times New Roman" w:hAnsi="Times New Roman"/>
          <w:color w:val="auto"/>
          <w:sz w:val="24"/>
          <w:szCs w:val="24"/>
        </w:rPr>
      </w:pPr>
      <w:r>
        <w:rPr>
          <w:rFonts w:hint="eastAsia" w:ascii="Times New Roman" w:hAnsi="Times New Roman"/>
          <w:sz w:val="24"/>
          <w:szCs w:val="24"/>
        </w:rPr>
        <w:t>4、供应商须提供诚信</w:t>
      </w:r>
      <w:r>
        <w:rPr>
          <w:rFonts w:hint="eastAsia" w:ascii="Times New Roman" w:hAnsi="Times New Roman"/>
          <w:color w:val="auto"/>
          <w:sz w:val="24"/>
          <w:szCs w:val="24"/>
        </w:rPr>
        <w:t>承诺书（</w:t>
      </w:r>
      <w:r>
        <w:rPr>
          <w:rFonts w:hint="eastAsia" w:ascii="Times New Roman" w:hAnsi="Times New Roman" w:cs="宋体"/>
          <w:color w:val="auto"/>
          <w:sz w:val="24"/>
          <w:szCs w:val="24"/>
        </w:rPr>
        <w:t>格式参见附件）；</w:t>
      </w:r>
    </w:p>
    <w:p w14:paraId="3DE1C33D">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olor w:val="auto"/>
          <w:sz w:val="24"/>
          <w:szCs w:val="24"/>
          <w:highlight w:val="none"/>
        </w:rPr>
        <w:t>、</w:t>
      </w:r>
      <w:r>
        <w:rPr>
          <w:rFonts w:hint="eastAsia" w:ascii="Times New Roman" w:hAnsi="Times New Roman" w:eastAsia="宋体" w:cs="Times New Roman"/>
          <w:sz w:val="24"/>
          <w:szCs w:val="24"/>
          <w:lang w:val="en-US" w:eastAsia="zh-CN"/>
        </w:rPr>
        <w:t>供应商应符合应急管理部颁布的《消防技术服务机构从业条件》（应急〔2019〕88号)的要求，社会消防技术服务信息系统中服务类型包含“消防设施维护保养”，需提供“社会消防技术服务信息系统（https://shhxf.119.gov.cn/templet/index_7.jsp）-消防机构信息”栏目的本单位基本信息截图打印件（加盖供应商单位公章）并确保可以公开查询；</w:t>
      </w:r>
    </w:p>
    <w:p w14:paraId="6EE9383F">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color w:val="auto"/>
          <w:sz w:val="24"/>
          <w:szCs w:val="24"/>
        </w:rPr>
      </w:pPr>
      <w:r>
        <w:rPr>
          <w:rFonts w:hint="eastAsia" w:ascii="Times New Roman" w:hAnsi="Times New Roman" w:eastAsia="宋体" w:cs="Times New Roman"/>
          <w:b/>
          <w:bCs/>
          <w:color w:val="auto"/>
          <w:sz w:val="24"/>
          <w:szCs w:val="24"/>
          <w:lang w:val="en-US" w:eastAsia="zh-CN"/>
        </w:rPr>
        <w:t>6、</w:t>
      </w:r>
      <w:r>
        <w:rPr>
          <w:rFonts w:hint="eastAsia" w:ascii="Times New Roman" w:hAnsi="Times New Roman" w:eastAsia="宋体" w:cs="Times New Roman"/>
          <w:b/>
          <w:bCs/>
          <w:color w:val="auto"/>
          <w:sz w:val="24"/>
          <w:szCs w:val="24"/>
        </w:rPr>
        <w:t>现场踏勘确认函（必须经采购方签字，否则作无效响应处理）</w:t>
      </w:r>
    </w:p>
    <w:p w14:paraId="14D872B8">
      <w:pPr>
        <w:keepNext w:val="0"/>
        <w:keepLines w:val="0"/>
        <w:pageBreakBefore w:val="0"/>
        <w:widowControl w:val="0"/>
        <w:kinsoku/>
        <w:wordWrap/>
        <w:topLinePunct w:val="0"/>
        <w:autoSpaceDE/>
        <w:autoSpaceDN/>
        <w:bidi w:val="0"/>
        <w:spacing w:line="360" w:lineRule="auto"/>
        <w:ind w:firstLine="480" w:firstLineChars="200"/>
        <w:rPr>
          <w:rFonts w:hint="eastAsia"/>
          <w:lang w:val="en-US" w:eastAsia="zh-CN"/>
        </w:rPr>
      </w:pPr>
      <w:r>
        <w:rPr>
          <w:rFonts w:hint="eastAsia" w:ascii="Times New Roman" w:hAnsi="Times New Roman" w:eastAsia="宋体"/>
          <w:color w:val="auto"/>
          <w:sz w:val="24"/>
          <w:szCs w:val="24"/>
          <w:lang w:val="en-US" w:eastAsia="zh-CN"/>
        </w:rPr>
        <w:t>7</w:t>
      </w:r>
      <w:r>
        <w:rPr>
          <w:rFonts w:hint="eastAsia" w:ascii="Times New Roman" w:hAnsi="Times New Roman" w:eastAsia="宋体"/>
          <w:color w:val="auto"/>
          <w:sz w:val="24"/>
          <w:szCs w:val="24"/>
        </w:rPr>
        <w:t>、</w:t>
      </w:r>
      <w:r>
        <w:rPr>
          <w:rFonts w:hint="eastAsia" w:ascii="Times New Roman" w:hAnsi="Times New Roman" w:eastAsia="宋体" w:cs="Times New Roman"/>
          <w:color w:val="000000"/>
          <w:sz w:val="24"/>
          <w:szCs w:val="24"/>
          <w:lang w:val="en-US" w:eastAsia="zh-CN"/>
        </w:rPr>
        <w:t>供应商需购买过团体人身意外伤害保险，且承诺在中标后签订合同前将负责本项目的所有人员全部含在保险名单内，提供承诺函</w:t>
      </w:r>
      <w:r>
        <w:rPr>
          <w:rFonts w:hint="eastAsia" w:ascii="Times New Roman" w:hAnsi="Times New Roman"/>
          <w:color w:val="auto"/>
          <w:sz w:val="24"/>
          <w:szCs w:val="24"/>
        </w:rPr>
        <w:t>（</w:t>
      </w:r>
      <w:r>
        <w:rPr>
          <w:rFonts w:hint="eastAsia" w:ascii="Times New Roman" w:hAnsi="Times New Roman" w:cs="宋体"/>
          <w:color w:val="auto"/>
          <w:sz w:val="24"/>
          <w:szCs w:val="24"/>
        </w:rPr>
        <w:t>格式</w:t>
      </w:r>
      <w:r>
        <w:rPr>
          <w:rFonts w:hint="eastAsia" w:ascii="Times New Roman" w:hAnsi="Times New Roman" w:cs="宋体"/>
          <w:color w:val="auto"/>
          <w:sz w:val="24"/>
          <w:szCs w:val="24"/>
          <w:lang w:eastAsia="zh-CN"/>
        </w:rPr>
        <w:t>自拟</w:t>
      </w:r>
      <w:r>
        <w:rPr>
          <w:rFonts w:hint="eastAsia" w:ascii="Times New Roman" w:hAnsi="Times New Roman" w:cs="宋体"/>
          <w:color w:val="auto"/>
          <w:sz w:val="24"/>
          <w:szCs w:val="24"/>
        </w:rPr>
        <w:t>）</w:t>
      </w:r>
      <w:r>
        <w:rPr>
          <w:rFonts w:hint="eastAsia" w:ascii="Times New Roman" w:hAnsi="Times New Roman" w:eastAsia="宋体" w:cs="Times New Roman"/>
          <w:color w:val="000000"/>
          <w:sz w:val="24"/>
          <w:szCs w:val="24"/>
          <w:lang w:val="en-US" w:eastAsia="zh-CN"/>
        </w:rPr>
        <w:t>。</w:t>
      </w:r>
    </w:p>
    <w:p w14:paraId="5D10AC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color w:val="auto"/>
          <w:sz w:val="24"/>
          <w:szCs w:val="24"/>
          <w:lang w:val="en-US" w:eastAsia="zh-CN"/>
        </w:rPr>
        <w:t>8、</w:t>
      </w:r>
      <w:r>
        <w:rPr>
          <w:rFonts w:hint="eastAsia" w:ascii="Times New Roman" w:hAnsi="Times New Roman" w:eastAsia="宋体"/>
          <w:color w:val="auto"/>
          <w:sz w:val="24"/>
          <w:szCs w:val="24"/>
        </w:rPr>
        <w:t>其它需要提交的资</w:t>
      </w:r>
      <w:r>
        <w:rPr>
          <w:rFonts w:hint="eastAsia" w:ascii="Times New Roman" w:hAnsi="Times New Roman" w:eastAsia="宋体"/>
          <w:sz w:val="24"/>
          <w:szCs w:val="24"/>
        </w:rPr>
        <w:t>格审查证明材料。</w:t>
      </w:r>
    </w:p>
    <w:p w14:paraId="3EC6E51E">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以上材料如为复印件均需加盖投标单位公章。</w:t>
      </w:r>
    </w:p>
    <w:p w14:paraId="1B659E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highlight w:val="none"/>
        </w:rPr>
        <w:t>二、技术响</w:t>
      </w:r>
      <w:r>
        <w:rPr>
          <w:rFonts w:hint="eastAsia" w:ascii="Times New Roman" w:hAnsi="Times New Roman" w:eastAsia="宋体"/>
          <w:b/>
          <w:bCs/>
          <w:sz w:val="24"/>
          <w:szCs w:val="24"/>
        </w:rPr>
        <w:t>应文件（单独密封）：</w:t>
      </w:r>
    </w:p>
    <w:p w14:paraId="040FBD7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bCs/>
          <w:sz w:val="24"/>
          <w:szCs w:val="24"/>
        </w:rPr>
        <w:t>1、</w:t>
      </w:r>
      <w:r>
        <w:rPr>
          <w:rFonts w:hint="eastAsia" w:ascii="Times New Roman" w:hAnsi="Times New Roman" w:eastAsia="宋体" w:cs="宋体"/>
          <w:sz w:val="24"/>
          <w:szCs w:val="24"/>
        </w:rPr>
        <w:t>磋商</w:t>
      </w:r>
      <w:r>
        <w:rPr>
          <w:rFonts w:ascii="Times New Roman" w:hAnsi="Times New Roman" w:eastAsia="宋体" w:cs="宋体"/>
          <w:sz w:val="24"/>
          <w:szCs w:val="24"/>
        </w:rPr>
        <w:t>响应函（格式参见第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p>
    <w:p w14:paraId="56119F8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bCs/>
          <w:sz w:val="24"/>
          <w:szCs w:val="24"/>
          <w:lang w:val="en-US" w:eastAsia="zh-CN"/>
        </w:rPr>
        <w:t>2、供应商一般情况表</w:t>
      </w:r>
      <w:r>
        <w:rPr>
          <w:rFonts w:ascii="Times New Roman" w:hAnsi="Times New Roman" w:eastAsia="宋体" w:cs="宋体"/>
          <w:sz w:val="24"/>
          <w:szCs w:val="24"/>
        </w:rPr>
        <w:t>（格式参见第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p>
    <w:p w14:paraId="4FBAAF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lang w:val="en-US" w:eastAsia="zh-CN"/>
        </w:rPr>
      </w:pPr>
      <w:r>
        <w:rPr>
          <w:rFonts w:hint="eastAsia" w:ascii="Times New Roman" w:hAnsi="Times New Roman" w:eastAsia="宋体" w:cs="宋体"/>
          <w:bCs/>
          <w:sz w:val="24"/>
          <w:szCs w:val="24"/>
          <w:lang w:val="en-US" w:eastAsia="zh-CN"/>
        </w:rPr>
        <w:t>3、</w:t>
      </w:r>
      <w:r>
        <w:rPr>
          <w:rFonts w:hint="eastAsia" w:ascii="Times New Roman" w:hAnsi="Times New Roman" w:eastAsia="宋体" w:cs="宋体"/>
          <w:bCs/>
          <w:sz w:val="24"/>
          <w:szCs w:val="24"/>
        </w:rPr>
        <w:t>技术</w:t>
      </w:r>
      <w:r>
        <w:rPr>
          <w:rFonts w:hint="eastAsia" w:ascii="Times New Roman" w:hAnsi="Times New Roman" w:eastAsia="宋体" w:cs="宋体"/>
          <w:bCs/>
          <w:sz w:val="24"/>
          <w:szCs w:val="24"/>
          <w:lang w:eastAsia="zh-CN"/>
        </w:rPr>
        <w:t>商务</w:t>
      </w:r>
      <w:r>
        <w:rPr>
          <w:rFonts w:hint="eastAsia" w:ascii="Times New Roman" w:hAnsi="Times New Roman" w:eastAsia="宋体" w:cs="宋体"/>
          <w:bCs/>
          <w:sz w:val="24"/>
          <w:szCs w:val="24"/>
        </w:rPr>
        <w:t>条款响应正负偏离表（</w:t>
      </w:r>
      <w:r>
        <w:rPr>
          <w:rFonts w:ascii="Times New Roman" w:hAnsi="Times New Roman" w:eastAsia="宋体" w:cs="宋体"/>
          <w:sz w:val="24"/>
          <w:szCs w:val="24"/>
        </w:rPr>
        <w:t>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r>
        <w:rPr>
          <w:rFonts w:hint="eastAsia" w:ascii="Times New Roman" w:hAnsi="Times New Roman" w:eastAsia="宋体" w:cs="宋体"/>
          <w:bCs/>
          <w:sz w:val="24"/>
          <w:szCs w:val="24"/>
        </w:rPr>
        <w:t>）</w:t>
      </w:r>
    </w:p>
    <w:p w14:paraId="0B176A5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4、</w:t>
      </w:r>
      <w:r>
        <w:rPr>
          <w:rFonts w:hint="eastAsia" w:ascii="Times New Roman" w:hAnsi="Times New Roman" w:eastAsia="宋体" w:cs="宋体"/>
          <w:bCs/>
          <w:sz w:val="24"/>
          <w:szCs w:val="24"/>
        </w:rPr>
        <w:t>磋商文件中评分标准所涉及的事项需提供的所有资料；</w:t>
      </w:r>
    </w:p>
    <w:p w14:paraId="0C5272E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5</w:t>
      </w:r>
      <w:r>
        <w:rPr>
          <w:rFonts w:hint="eastAsia" w:ascii="Times New Roman" w:hAnsi="Times New Roman" w:eastAsia="宋体" w:cs="宋体"/>
          <w:bCs/>
          <w:sz w:val="24"/>
          <w:szCs w:val="24"/>
        </w:rPr>
        <w:t>、磋商文件中未涉及的事项，</w:t>
      </w:r>
      <w:r>
        <w:rPr>
          <w:rFonts w:hint="eastAsia" w:ascii="Times New Roman" w:hAnsi="Times New Roman" w:eastAsia="宋体" w:cs="宋体"/>
          <w:bCs/>
          <w:sz w:val="24"/>
          <w:szCs w:val="24"/>
          <w:lang w:eastAsia="zh-CN"/>
        </w:rPr>
        <w:t>响应</w:t>
      </w:r>
      <w:r>
        <w:rPr>
          <w:rFonts w:hint="eastAsia" w:ascii="Times New Roman" w:hAnsi="Times New Roman" w:eastAsia="宋体" w:cs="宋体"/>
          <w:bCs/>
          <w:sz w:val="24"/>
          <w:szCs w:val="24"/>
        </w:rPr>
        <w:t>供应商认为需要提交的其他资料。</w:t>
      </w:r>
    </w:p>
    <w:p w14:paraId="56F9402B">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资格审查文件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技术响应文件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所须提供的材料按磋商文件要求装订，密封，递交。</w:t>
      </w:r>
    </w:p>
    <w:p w14:paraId="4EEF105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14:paraId="302487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1、磋商响应报价表（格式参见附件）；</w:t>
      </w:r>
    </w:p>
    <w:p w14:paraId="1E90A19A">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2、磋商响应报价明细表</w:t>
      </w:r>
      <w:r>
        <w:rPr>
          <w:rFonts w:hint="eastAsia" w:ascii="Times New Roman" w:hAnsi="Times New Roman" w:eastAsia="宋体" w:cs="宋体"/>
          <w:sz w:val="24"/>
          <w:szCs w:val="24"/>
        </w:rPr>
        <w:t>（格式参见附件）</w:t>
      </w:r>
      <w:r>
        <w:rPr>
          <w:rFonts w:hint="eastAsia" w:ascii="Times New Roman" w:hAnsi="Times New Roman" w:eastAsia="宋体" w:cs="宋体"/>
          <w:bCs/>
          <w:sz w:val="24"/>
          <w:szCs w:val="24"/>
          <w:lang w:val="en-US" w:eastAsia="zh-CN"/>
        </w:rPr>
        <w:t>；</w:t>
      </w:r>
    </w:p>
    <w:p w14:paraId="0F163ADB">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sz w:val="24"/>
          <w:szCs w:val="24"/>
        </w:rPr>
      </w:pPr>
      <w:r>
        <w:rPr>
          <w:rFonts w:hint="eastAsia" w:ascii="Times New Roman" w:hAnsi="Times New Roman" w:eastAsia="宋体" w:cs="宋体"/>
          <w:sz w:val="24"/>
          <w:szCs w:val="24"/>
        </w:rPr>
        <w:br w:type="page"/>
      </w:r>
    </w:p>
    <w:p w14:paraId="4C3EB441">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14:paraId="732A05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14:paraId="6AE0EE6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14:paraId="724B7DC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p w14:paraId="1E671B2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14:paraId="7A312EA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南通市第三人民医院消防系统改造项目</w:t>
      </w:r>
      <w:r>
        <w:rPr>
          <w:rFonts w:hint="eastAsia" w:ascii="Times New Roman" w:hAnsi="Times New Roman" w:eastAsia="宋体" w:cs="宋体"/>
          <w:sz w:val="24"/>
          <w:szCs w:val="24"/>
        </w:rPr>
        <w:t>（竞争性磋商项目名称）项目的磋商活动，全权代表我公司处理该磋商活动的有关事宜。</w:t>
      </w:r>
    </w:p>
    <w:p w14:paraId="09B35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6C411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14:paraId="5A9425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14:paraId="476C152C">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14:paraId="68B46FC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14:paraId="069BEC9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14:paraId="50F6DA97">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1F5CC40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14:paraId="52938C0C">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14:paraId="0D63A7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3526DD7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14:paraId="35F64DD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5DA3EF31">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14:paraId="2877421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14:paraId="19A2CB54">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14:paraId="20390B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14:paraId="440039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14:paraId="7E2D926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14:paraId="23E00D13">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南通市第三人民医院消防系统改造项目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14:paraId="6EC5AE49">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14:paraId="4C4264BF">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p>
    <w:p w14:paraId="5654175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7188B0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14:paraId="1ADC34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14:paraId="1369133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14:paraId="58FA5C6A">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14:paraId="6368833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14:paraId="1BF1A06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14:paraId="1BAFC67B">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14:paraId="5CAEAFE6">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2B4875B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14:paraId="134EFE6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699508A2">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14:paraId="67B3912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14:paraId="7BDF9F0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14:paraId="3B5C7E52">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14:paraId="4499F4A3">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p>
    <w:p w14:paraId="294A71F8">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14:paraId="28B6A7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14:paraId="4C04BA76">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sz w:val="24"/>
          <w:szCs w:val="21"/>
          <w:u w:val="single"/>
        </w:rPr>
      </w:pPr>
    </w:p>
    <w:p w14:paraId="4ABC32A0">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14:paraId="10272BC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14:paraId="19EA956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14:paraId="1A785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14:paraId="31A8F42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14:paraId="1900871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14:paraId="0FCD552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认定为200万元以上的罚款，法律、行政法规以及国务院有关部门明确规定相关领域</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标准高于200万元的，从其规定。）</w:t>
      </w:r>
    </w:p>
    <w:p w14:paraId="768A4146">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14:paraId="3E31EBA1">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0"/>
        </w:rPr>
      </w:pPr>
    </w:p>
    <w:p w14:paraId="1345351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p>
    <w:p w14:paraId="06041CA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供应商：（加盖公章）</w:t>
      </w:r>
    </w:p>
    <w:p w14:paraId="71726D7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14:paraId="58A40EDC">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14:paraId="7B970FE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14:paraId="1DC4C2D6">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14:paraId="4C039A2A">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14:paraId="6D322D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14:paraId="4FC44F01">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14:paraId="1E8C534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14:paraId="58D22709">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14:paraId="445D709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14:paraId="5D33C2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14:paraId="40DBAAF4">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保证金、不良行为记录、限制其一定期限内投标资格等处罚。对造成的损失，任何法律和经济责任完全由我方负责。</w:t>
      </w:r>
    </w:p>
    <w:p w14:paraId="10CA0CFA">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sz w:val="28"/>
          <w:szCs w:val="28"/>
        </w:rPr>
      </w:pPr>
    </w:p>
    <w:p w14:paraId="0E306E57">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供应商：（加盖公章）</w:t>
      </w:r>
    </w:p>
    <w:p w14:paraId="1C2E879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14:paraId="06093B84">
      <w:pPr>
        <w:keepNext w:val="0"/>
        <w:keepLines w:val="0"/>
        <w:pageBreakBefore w:val="0"/>
        <w:widowControl w:val="0"/>
        <w:kinsoku/>
        <w:wordWrap/>
        <w:topLinePunct w:val="0"/>
        <w:autoSpaceDE/>
        <w:autoSpaceDN/>
        <w:bidi w:val="0"/>
        <w:spacing w:line="360" w:lineRule="auto"/>
        <w:ind w:firstLine="1320" w:firstLineChars="550"/>
        <w:jc w:val="right"/>
        <w:rPr>
          <w:rFonts w:hint="eastAsia" w:ascii="Times New Roman" w:hAnsi="Times New Roman" w:eastAsia="宋体" w:cs="宋体"/>
          <w:sz w:val="24"/>
          <w:szCs w:val="24"/>
        </w:rPr>
      </w:pPr>
      <w:r>
        <w:rPr>
          <w:rFonts w:hint="eastAsia" w:ascii="Times New Roman" w:hAnsi="Times New Roman" w:eastAsia="宋体" w:cs="宋体"/>
          <w:sz w:val="24"/>
          <w:szCs w:val="24"/>
        </w:rPr>
        <w:t>年      月     日</w:t>
      </w:r>
    </w:p>
    <w:p w14:paraId="6BE2C470">
      <w:pPr>
        <w:rPr>
          <w:rFonts w:hint="eastAsia" w:ascii="Times New Roman" w:hAnsi="Times New Roman" w:eastAsia="宋体" w:cs="宋体"/>
          <w:sz w:val="24"/>
          <w:szCs w:val="24"/>
        </w:rPr>
      </w:pPr>
      <w:r>
        <w:rPr>
          <w:rFonts w:hint="eastAsia" w:ascii="Times New Roman" w:hAnsi="Times New Roman" w:eastAsia="宋体" w:cs="宋体"/>
          <w:sz w:val="24"/>
          <w:szCs w:val="24"/>
        </w:rPr>
        <w:br w:type="page"/>
      </w:r>
    </w:p>
    <w:p w14:paraId="358C3650">
      <w:pPr>
        <w:spacing w:before="240" w:line="312" w:lineRule="auto"/>
        <w:jc w:val="center"/>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5、</w:t>
      </w:r>
      <w:r>
        <w:rPr>
          <w:rFonts w:hint="eastAsia" w:ascii="Times New Roman" w:hAnsi="Times New Roman" w:eastAsia="宋体" w:cs="Times New Roman"/>
          <w:b/>
          <w:sz w:val="24"/>
          <w:szCs w:val="24"/>
        </w:rPr>
        <w:t>现场勘察承诺函</w:t>
      </w:r>
    </w:p>
    <w:p w14:paraId="5F9BFAD8">
      <w:pPr>
        <w:pStyle w:val="68"/>
        <w:adjustRightInd w:val="0"/>
        <w:snapToGrid w:val="0"/>
        <w:spacing w:line="52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依据贵单位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项目磋商文件的要求。我方已于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日</w:t>
      </w:r>
      <w:r>
        <w:rPr>
          <w:rFonts w:hint="eastAsia" w:ascii="宋体" w:hAnsi="宋体" w:eastAsia="宋体" w:cs="宋体"/>
          <w:color w:val="000000"/>
          <w:sz w:val="24"/>
          <w:szCs w:val="24"/>
        </w:rPr>
        <w:t>对该项目进行了现场勘察，现就现场勘察情况作如下承诺：</w:t>
      </w:r>
    </w:p>
    <w:p w14:paraId="46527AE4">
      <w:pPr>
        <w:pStyle w:val="68"/>
        <w:adjustRightInd w:val="0"/>
        <w:snapToGrid w:val="0"/>
        <w:spacing w:line="52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1、经现场勘察，我方已熟悉与该项目相关的现场、施工环境、现场周围交通道路等所有情况。</w:t>
      </w:r>
    </w:p>
    <w:p w14:paraId="4E18B416">
      <w:pPr>
        <w:pStyle w:val="68"/>
        <w:adjustRightInd w:val="0"/>
        <w:snapToGrid w:val="0"/>
        <w:spacing w:line="52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2、我方承诺自行承担本次现场勘察所发生的所有费用并承担勘察现场的相关责任和风险。</w:t>
      </w:r>
    </w:p>
    <w:p w14:paraId="0E5C7448">
      <w:pPr>
        <w:pStyle w:val="68"/>
        <w:adjustRightInd w:val="0"/>
        <w:snapToGrid w:val="0"/>
        <w:spacing w:line="52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3、我方承诺在任何情况下均不以不完全了解现场情况为理由而向采购人提出任何索赔的要求。</w:t>
      </w:r>
    </w:p>
    <w:p w14:paraId="2CFF909A">
      <w:pPr>
        <w:pStyle w:val="68"/>
        <w:adjustRightInd w:val="0"/>
        <w:snapToGrid w:val="0"/>
        <w:spacing w:line="520" w:lineRule="exact"/>
        <w:ind w:firstLine="480" w:firstLineChars="200"/>
        <w:contextualSpacing/>
        <w:rPr>
          <w:rFonts w:hint="eastAsia" w:ascii="宋体" w:hAnsi="宋体" w:eastAsia="宋体" w:cs="宋体"/>
          <w:color w:val="000000"/>
          <w:sz w:val="24"/>
          <w:szCs w:val="24"/>
        </w:rPr>
      </w:pPr>
    </w:p>
    <w:p w14:paraId="3AE4080F">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采购方代表签字：</w:t>
      </w:r>
      <w:r>
        <w:rPr>
          <w:rFonts w:hint="eastAsia" w:ascii="宋体" w:hAnsi="宋体" w:eastAsia="宋体" w:cs="宋体"/>
          <w:color w:val="000000"/>
          <w:sz w:val="24"/>
          <w:szCs w:val="24"/>
          <w:u w:val="single"/>
        </w:rPr>
        <w:t xml:space="preserve">                     （必须经采购方签字，否则作无效响应处理）</w:t>
      </w:r>
    </w:p>
    <w:p w14:paraId="29724FEF">
      <w:pPr>
        <w:snapToGrid w:val="0"/>
        <w:spacing w:line="520" w:lineRule="exact"/>
        <w:jc w:val="right"/>
        <w:rPr>
          <w:rFonts w:hint="eastAsia" w:ascii="宋体" w:hAnsi="宋体" w:eastAsia="宋体" w:cs="宋体"/>
          <w:color w:val="000000"/>
          <w:sz w:val="24"/>
          <w:szCs w:val="24"/>
        </w:rPr>
      </w:pPr>
    </w:p>
    <w:p w14:paraId="122BD85E">
      <w:pPr>
        <w:snapToGrid w:val="0"/>
        <w:spacing w:line="520" w:lineRule="exact"/>
        <w:jc w:val="right"/>
        <w:rPr>
          <w:rFonts w:hint="eastAsia" w:ascii="宋体" w:hAnsi="宋体" w:eastAsia="宋体" w:cs="宋体"/>
          <w:color w:val="000000"/>
          <w:sz w:val="24"/>
          <w:szCs w:val="24"/>
        </w:rPr>
      </w:pPr>
    </w:p>
    <w:p w14:paraId="0335FF4A">
      <w:pPr>
        <w:snapToGrid w:val="0"/>
        <w:spacing w:line="52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bCs/>
          <w:color w:val="000000"/>
          <w:sz w:val="24"/>
          <w:szCs w:val="24"/>
        </w:rPr>
        <w:t xml:space="preserve">： </w:t>
      </w:r>
      <w:r>
        <w:rPr>
          <w:rFonts w:hint="eastAsia" w:ascii="宋体" w:hAnsi="宋体" w:eastAsia="宋体" w:cs="宋体"/>
          <w:color w:val="000000"/>
          <w:sz w:val="24"/>
          <w:szCs w:val="24"/>
        </w:rPr>
        <w:t>（加盖公章）</w:t>
      </w:r>
    </w:p>
    <w:p w14:paraId="0890C4C5">
      <w:pPr>
        <w:snapToGrid w:val="0"/>
        <w:spacing w:line="520" w:lineRule="exact"/>
        <w:ind w:firstLine="2400" w:firstLineChars="1000"/>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法定代表人或被授权人：（签字或盖章）</w:t>
      </w:r>
    </w:p>
    <w:p w14:paraId="3796E81D">
      <w:pPr>
        <w:snapToGrid w:val="0"/>
        <w:spacing w:line="52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14:paraId="1A01991B">
      <w:pPr>
        <w:pStyle w:val="39"/>
      </w:pPr>
    </w:p>
    <w:p w14:paraId="3ED19012">
      <w:pPr>
        <w:keepNext w:val="0"/>
        <w:keepLines w:val="0"/>
        <w:pageBreakBefore w:val="0"/>
        <w:widowControl w:val="0"/>
        <w:kinsoku/>
        <w:wordWrap/>
        <w:topLinePunct w:val="0"/>
        <w:autoSpaceDE/>
        <w:autoSpaceDN/>
        <w:bidi w:val="0"/>
        <w:spacing w:line="360" w:lineRule="auto"/>
        <w:jc w:val="left"/>
        <w:rPr>
          <w:rFonts w:hint="eastAsia" w:ascii="Times New Roman" w:hAnsi="Times New Roman" w:eastAsia="宋体"/>
        </w:rPr>
      </w:pPr>
      <w:r>
        <w:rPr>
          <w:rFonts w:ascii="Times New Roman" w:hAnsi="Times New Roman" w:eastAsia="宋体"/>
          <w:b/>
          <w:sz w:val="24"/>
          <w:szCs w:val="24"/>
        </w:rPr>
        <w:br w:type="page"/>
      </w:r>
    </w:p>
    <w:p w14:paraId="49A9F47F">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6</w:t>
      </w:r>
      <w:r>
        <w:rPr>
          <w:rFonts w:hint="eastAsia" w:ascii="Times New Roman" w:hAnsi="Times New Roman" w:eastAsia="宋体" w:cs="宋体"/>
          <w:b/>
          <w:bCs/>
          <w:sz w:val="24"/>
          <w:szCs w:val="24"/>
        </w:rPr>
        <w:t>、竞争性磋商响应函</w:t>
      </w:r>
    </w:p>
    <w:p w14:paraId="41CFE15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14:paraId="64E039D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14:paraId="51FBA21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14:paraId="6C6A61C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14:paraId="1F3D4B6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14:paraId="1CD14FA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14:paraId="67F4F44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14:paraId="58857A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14:paraId="308FC1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14:paraId="5EEBBD7C">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p>
    <w:p w14:paraId="2D5797B5">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14:paraId="5F1E5940">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14:paraId="080E7D08">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14:paraId="29FDDB08">
      <w:pPr>
        <w:rPr>
          <w:rFonts w:hint="eastAsia" w:ascii="Times New Roman" w:hAnsi="Times New Roman" w:eastAsia="宋体"/>
          <w:b/>
          <w:sz w:val="24"/>
          <w:szCs w:val="24"/>
          <w:lang w:val="en-US" w:eastAsia="zh-CN"/>
        </w:rPr>
      </w:pPr>
    </w:p>
    <w:p w14:paraId="0B0F1166">
      <w:pPr>
        <w:rPr>
          <w:rFonts w:hint="eastAsia" w:ascii="Times New Roman" w:hAnsi="Times New Roman" w:eastAsia="宋体"/>
          <w:b/>
          <w:sz w:val="24"/>
          <w:szCs w:val="24"/>
          <w:lang w:val="en-US" w:eastAsia="zh-CN"/>
        </w:rPr>
      </w:pPr>
      <w:r>
        <w:rPr>
          <w:rFonts w:hint="eastAsia" w:ascii="Times New Roman" w:hAnsi="Times New Roman" w:eastAsia="宋体"/>
          <w:b/>
          <w:sz w:val="24"/>
          <w:szCs w:val="24"/>
          <w:lang w:val="en-US" w:eastAsia="zh-CN"/>
        </w:rPr>
        <w:br w:type="page"/>
      </w:r>
    </w:p>
    <w:p w14:paraId="5EFC8A36">
      <w:pPr>
        <w:jc w:val="center"/>
        <w:rPr>
          <w:rFonts w:ascii="Times New Roman" w:hAnsi="Times New Roman" w:cs="宋体"/>
          <w:b/>
          <w:sz w:val="24"/>
          <w:szCs w:val="24"/>
        </w:rPr>
      </w:pPr>
      <w:r>
        <w:rPr>
          <w:rFonts w:hint="eastAsia" w:ascii="Times New Roman" w:hAnsi="Times New Roman"/>
          <w:b/>
          <w:sz w:val="24"/>
          <w:szCs w:val="24"/>
          <w:lang w:val="en-US" w:eastAsia="zh-CN"/>
        </w:rPr>
        <w:t>7</w:t>
      </w:r>
      <w:r>
        <w:rPr>
          <w:rFonts w:hint="eastAsia" w:ascii="Times New Roman" w:hAnsi="Times New Roman"/>
          <w:b/>
          <w:sz w:val="24"/>
          <w:szCs w:val="24"/>
        </w:rPr>
        <w:t>、</w:t>
      </w:r>
      <w:r>
        <w:rPr>
          <w:rFonts w:ascii="Times New Roman" w:hAnsi="Times New Roman"/>
          <w:b/>
          <w:bCs/>
          <w:sz w:val="24"/>
          <w:szCs w:val="24"/>
        </w:rPr>
        <w:t>供应商一般情况表</w:t>
      </w:r>
    </w:p>
    <w:tbl>
      <w:tblPr>
        <w:tblStyle w:val="25"/>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040A215F">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997F416">
            <w:pPr>
              <w:spacing w:line="360" w:lineRule="auto"/>
              <w:jc w:val="center"/>
              <w:rPr>
                <w:rFonts w:ascii="Times New Roman" w:hAnsi="Times New Roman" w:cs="宋体"/>
                <w:sz w:val="24"/>
                <w:szCs w:val="24"/>
              </w:rPr>
            </w:pPr>
            <w:r>
              <w:rPr>
                <w:rFonts w:hint="eastAsia" w:ascii="Times New Roman" w:hAnsi="Times New Roman" w:cs="宋体"/>
                <w:sz w:val="24"/>
                <w:szCs w:val="24"/>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14:paraId="4A6F1267">
            <w:pPr>
              <w:spacing w:line="360" w:lineRule="auto"/>
              <w:rPr>
                <w:rFonts w:ascii="Times New Roman" w:hAnsi="Times New Roman" w:cs="宋体"/>
                <w:sz w:val="24"/>
                <w:szCs w:val="24"/>
              </w:rPr>
            </w:pPr>
          </w:p>
        </w:tc>
      </w:tr>
      <w:tr w14:paraId="2D06D9D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8DB13B8">
            <w:pPr>
              <w:spacing w:line="360" w:lineRule="auto"/>
              <w:jc w:val="center"/>
              <w:rPr>
                <w:rFonts w:ascii="Times New Roman" w:hAnsi="Times New Roman" w:cs="宋体"/>
                <w:sz w:val="24"/>
                <w:szCs w:val="24"/>
              </w:rPr>
            </w:pPr>
            <w:r>
              <w:rPr>
                <w:rFonts w:hint="eastAsia" w:ascii="Times New Roman" w:hAnsi="Times New Roman" w:cs="宋体"/>
                <w:sz w:val="24"/>
                <w:szCs w:val="24"/>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14:paraId="03F87BB1">
            <w:pPr>
              <w:spacing w:line="360" w:lineRule="auto"/>
              <w:rPr>
                <w:rFonts w:ascii="Times New Roman" w:hAnsi="Times New Roman" w:cs="宋体"/>
                <w:sz w:val="24"/>
                <w:szCs w:val="24"/>
              </w:rPr>
            </w:pPr>
          </w:p>
        </w:tc>
      </w:tr>
      <w:tr w14:paraId="1741608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B88F46C">
            <w:pPr>
              <w:spacing w:line="360" w:lineRule="auto"/>
              <w:jc w:val="center"/>
              <w:rPr>
                <w:rFonts w:ascii="Times New Roman" w:hAnsi="Times New Roman" w:cs="宋体"/>
                <w:sz w:val="24"/>
                <w:szCs w:val="24"/>
              </w:rPr>
            </w:pPr>
            <w:r>
              <w:rPr>
                <w:rFonts w:hint="eastAsia" w:ascii="Times New Roman" w:hAnsi="Times New Roman" w:cs="宋体"/>
                <w:sz w:val="24"/>
                <w:szCs w:val="24"/>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14:paraId="7463C496">
            <w:pPr>
              <w:spacing w:line="360" w:lineRule="auto"/>
              <w:rPr>
                <w:rFonts w:ascii="Times New Roman" w:hAnsi="Times New Roman" w:cs="宋体"/>
                <w:sz w:val="24"/>
                <w:szCs w:val="24"/>
              </w:rPr>
            </w:pPr>
          </w:p>
        </w:tc>
      </w:tr>
      <w:tr w14:paraId="27DF4E7F">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30A736D">
            <w:pPr>
              <w:spacing w:line="360" w:lineRule="auto"/>
              <w:jc w:val="center"/>
              <w:rPr>
                <w:rFonts w:ascii="Times New Roman" w:hAnsi="Times New Roman" w:cs="宋体"/>
                <w:sz w:val="24"/>
                <w:szCs w:val="24"/>
              </w:rPr>
            </w:pPr>
            <w:r>
              <w:rPr>
                <w:rFonts w:hint="eastAsia" w:ascii="Times New Roman" w:hAnsi="Times New Roman" w:cs="宋体"/>
                <w:sz w:val="24"/>
                <w:szCs w:val="24"/>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14:paraId="6CEE8DE6">
            <w:pPr>
              <w:spacing w:line="360" w:lineRule="auto"/>
              <w:rPr>
                <w:rFonts w:ascii="Times New Roman" w:hAnsi="Times New Roman" w:cs="宋体"/>
                <w:sz w:val="24"/>
                <w:szCs w:val="24"/>
              </w:rPr>
            </w:pPr>
          </w:p>
        </w:tc>
      </w:tr>
      <w:tr w14:paraId="6CE3ACD2">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E117316">
            <w:pPr>
              <w:spacing w:line="360" w:lineRule="auto"/>
              <w:jc w:val="center"/>
              <w:rPr>
                <w:rFonts w:ascii="Times New Roman" w:hAnsi="Times New Roman" w:cs="宋体"/>
                <w:sz w:val="24"/>
                <w:szCs w:val="24"/>
              </w:rPr>
            </w:pPr>
            <w:r>
              <w:rPr>
                <w:rFonts w:hint="eastAsia" w:ascii="Times New Roman" w:hAnsi="Times New Roman" w:cs="宋体"/>
                <w:sz w:val="24"/>
                <w:szCs w:val="24"/>
              </w:rPr>
              <w:t>电话</w:t>
            </w:r>
          </w:p>
        </w:tc>
        <w:tc>
          <w:tcPr>
            <w:tcW w:w="2408" w:type="dxa"/>
            <w:gridSpan w:val="3"/>
            <w:tcBorders>
              <w:top w:val="single" w:color="auto" w:sz="4" w:space="0"/>
              <w:left w:val="nil"/>
              <w:bottom w:val="single" w:color="auto" w:sz="4" w:space="0"/>
              <w:right w:val="single" w:color="auto" w:sz="4" w:space="0"/>
            </w:tcBorders>
            <w:noWrap w:val="0"/>
            <w:vAlign w:val="top"/>
          </w:tcPr>
          <w:p w14:paraId="3C50B9EF">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14:paraId="09D3AF5D">
            <w:pPr>
              <w:spacing w:line="360" w:lineRule="auto"/>
              <w:jc w:val="center"/>
              <w:rPr>
                <w:rFonts w:ascii="Times New Roman" w:hAnsi="Times New Roman" w:cs="宋体"/>
                <w:sz w:val="24"/>
                <w:szCs w:val="24"/>
              </w:rPr>
            </w:pPr>
            <w:r>
              <w:rPr>
                <w:rFonts w:hint="eastAsia" w:ascii="Times New Roman" w:hAnsi="Times New Roman" w:cs="宋体"/>
                <w:sz w:val="24"/>
                <w:szCs w:val="24"/>
              </w:rPr>
              <w:t>联系人</w:t>
            </w:r>
          </w:p>
        </w:tc>
        <w:tc>
          <w:tcPr>
            <w:tcW w:w="2946" w:type="dxa"/>
            <w:gridSpan w:val="3"/>
            <w:tcBorders>
              <w:top w:val="single" w:color="auto" w:sz="4" w:space="0"/>
              <w:left w:val="nil"/>
              <w:bottom w:val="single" w:color="auto" w:sz="4" w:space="0"/>
              <w:right w:val="single" w:color="auto" w:sz="4" w:space="0"/>
            </w:tcBorders>
            <w:noWrap w:val="0"/>
            <w:vAlign w:val="top"/>
          </w:tcPr>
          <w:p w14:paraId="338688B5">
            <w:pPr>
              <w:spacing w:line="360" w:lineRule="auto"/>
              <w:rPr>
                <w:rFonts w:ascii="Times New Roman" w:hAnsi="Times New Roman" w:cs="宋体"/>
                <w:sz w:val="24"/>
                <w:szCs w:val="24"/>
              </w:rPr>
            </w:pPr>
          </w:p>
        </w:tc>
      </w:tr>
      <w:tr w14:paraId="1FC0E33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2127E447">
            <w:pPr>
              <w:spacing w:line="360" w:lineRule="auto"/>
              <w:jc w:val="center"/>
              <w:rPr>
                <w:rFonts w:ascii="Times New Roman" w:hAnsi="Times New Roman" w:cs="宋体"/>
                <w:sz w:val="24"/>
                <w:szCs w:val="24"/>
              </w:rPr>
            </w:pPr>
            <w:r>
              <w:rPr>
                <w:rFonts w:hint="eastAsia" w:ascii="Times New Roman" w:hAnsi="Times New Roman" w:cs="宋体"/>
                <w:sz w:val="24"/>
                <w:szCs w:val="24"/>
              </w:rPr>
              <w:t>传真</w:t>
            </w:r>
          </w:p>
        </w:tc>
        <w:tc>
          <w:tcPr>
            <w:tcW w:w="2408" w:type="dxa"/>
            <w:gridSpan w:val="3"/>
            <w:tcBorders>
              <w:top w:val="single" w:color="auto" w:sz="4" w:space="0"/>
              <w:left w:val="nil"/>
              <w:bottom w:val="single" w:color="auto" w:sz="4" w:space="0"/>
              <w:right w:val="single" w:color="auto" w:sz="4" w:space="0"/>
            </w:tcBorders>
            <w:noWrap w:val="0"/>
            <w:vAlign w:val="top"/>
          </w:tcPr>
          <w:p w14:paraId="1988CDAB">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14:paraId="5FBF3F37">
            <w:pPr>
              <w:spacing w:line="360" w:lineRule="auto"/>
              <w:jc w:val="center"/>
              <w:rPr>
                <w:rFonts w:ascii="Times New Roman" w:hAnsi="Times New Roman" w:cs="宋体"/>
                <w:sz w:val="24"/>
                <w:szCs w:val="24"/>
              </w:rPr>
            </w:pPr>
            <w:r>
              <w:rPr>
                <w:rFonts w:hint="eastAsia" w:ascii="Times New Roman" w:hAnsi="Times New Roman" w:cs="宋体"/>
                <w:sz w:val="24"/>
                <w:szCs w:val="24"/>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14:paraId="7C14C35B">
            <w:pPr>
              <w:spacing w:line="360" w:lineRule="auto"/>
              <w:rPr>
                <w:rFonts w:ascii="Times New Roman" w:hAnsi="Times New Roman" w:cs="宋体"/>
                <w:sz w:val="24"/>
                <w:szCs w:val="24"/>
              </w:rPr>
            </w:pPr>
          </w:p>
        </w:tc>
      </w:tr>
      <w:tr w14:paraId="39C59AEC">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1EE8C6FD">
            <w:pPr>
              <w:spacing w:line="360" w:lineRule="auto"/>
              <w:jc w:val="center"/>
              <w:rPr>
                <w:rFonts w:ascii="Times New Roman" w:hAnsi="Times New Roman" w:cs="宋体"/>
                <w:sz w:val="24"/>
                <w:szCs w:val="24"/>
              </w:rPr>
            </w:pPr>
            <w:r>
              <w:rPr>
                <w:rFonts w:hint="eastAsia" w:ascii="Times New Roman" w:hAnsi="Times New Roman" w:cs="宋体"/>
                <w:sz w:val="24"/>
                <w:szCs w:val="24"/>
              </w:rPr>
              <w:t>注册地</w:t>
            </w:r>
          </w:p>
        </w:tc>
        <w:tc>
          <w:tcPr>
            <w:tcW w:w="2408" w:type="dxa"/>
            <w:gridSpan w:val="3"/>
            <w:tcBorders>
              <w:top w:val="single" w:color="auto" w:sz="4" w:space="0"/>
              <w:left w:val="nil"/>
              <w:bottom w:val="single" w:color="auto" w:sz="4" w:space="0"/>
              <w:right w:val="single" w:color="auto" w:sz="4" w:space="0"/>
            </w:tcBorders>
            <w:noWrap w:val="0"/>
            <w:vAlign w:val="top"/>
          </w:tcPr>
          <w:p w14:paraId="2CD32C1C">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14:paraId="7BE2FE5E">
            <w:pPr>
              <w:spacing w:line="360" w:lineRule="auto"/>
              <w:jc w:val="center"/>
              <w:rPr>
                <w:rFonts w:ascii="Times New Roman" w:hAnsi="Times New Roman" w:cs="宋体"/>
                <w:sz w:val="24"/>
                <w:szCs w:val="24"/>
              </w:rPr>
            </w:pPr>
            <w:r>
              <w:rPr>
                <w:rFonts w:hint="eastAsia" w:ascii="Times New Roman" w:hAnsi="Times New Roman" w:cs="宋体"/>
                <w:sz w:val="24"/>
                <w:szCs w:val="24"/>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14:paraId="7944468E">
            <w:pPr>
              <w:spacing w:line="360" w:lineRule="auto"/>
              <w:rPr>
                <w:rFonts w:ascii="Times New Roman" w:hAnsi="Times New Roman" w:cs="宋体"/>
                <w:sz w:val="24"/>
                <w:szCs w:val="24"/>
              </w:rPr>
            </w:pPr>
          </w:p>
        </w:tc>
      </w:tr>
      <w:tr w14:paraId="5C1033E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2398A18">
            <w:pPr>
              <w:spacing w:line="360" w:lineRule="auto"/>
              <w:jc w:val="center"/>
              <w:rPr>
                <w:rFonts w:ascii="Times New Roman" w:hAnsi="Times New Roman" w:cs="宋体"/>
                <w:sz w:val="24"/>
                <w:szCs w:val="24"/>
              </w:rPr>
            </w:pPr>
            <w:r>
              <w:rPr>
                <w:rFonts w:hint="eastAsia" w:ascii="Times New Roman" w:hAnsi="Times New Roman" w:cs="宋体"/>
                <w:sz w:val="24"/>
                <w:szCs w:val="24"/>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14:paraId="4968E794">
            <w:pPr>
              <w:spacing w:line="360" w:lineRule="auto"/>
              <w:rPr>
                <w:rFonts w:ascii="Times New Roman" w:hAnsi="Times New Roman" w:cs="宋体"/>
                <w:sz w:val="24"/>
                <w:szCs w:val="24"/>
              </w:rPr>
            </w:pPr>
            <w:r>
              <w:rPr>
                <w:rFonts w:hint="eastAsia" w:ascii="Times New Roman" w:hAnsi="Times New Roman" w:cs="宋体"/>
                <w:sz w:val="24"/>
                <w:szCs w:val="24"/>
              </w:rPr>
              <w:t>公司具备的相关资质等级及相应的证书号</w:t>
            </w:r>
          </w:p>
          <w:p w14:paraId="2565F232">
            <w:pPr>
              <w:spacing w:line="360" w:lineRule="auto"/>
              <w:rPr>
                <w:rFonts w:ascii="Times New Roman" w:hAnsi="Times New Roman" w:cs="宋体"/>
                <w:sz w:val="24"/>
                <w:szCs w:val="24"/>
              </w:rPr>
            </w:pPr>
            <w:r>
              <w:rPr>
                <w:rFonts w:hint="eastAsia" w:ascii="Times New Roman" w:hAnsi="Times New Roman" w:cs="宋体"/>
                <w:sz w:val="24"/>
                <w:szCs w:val="24"/>
              </w:rPr>
              <w:t>（请附有关证书的复印件）</w:t>
            </w:r>
          </w:p>
        </w:tc>
      </w:tr>
      <w:tr w14:paraId="09A8DFA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922CA55">
            <w:pPr>
              <w:spacing w:line="360" w:lineRule="auto"/>
              <w:jc w:val="center"/>
              <w:rPr>
                <w:rFonts w:ascii="Times New Roman" w:hAnsi="Times New Roman" w:cs="宋体"/>
                <w:sz w:val="24"/>
                <w:szCs w:val="24"/>
              </w:rPr>
            </w:pPr>
            <w:r>
              <w:rPr>
                <w:rFonts w:hint="eastAsia" w:ascii="Times New Roman" w:hAnsi="Times New Roman" w:cs="宋体"/>
                <w:sz w:val="24"/>
                <w:szCs w:val="24"/>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14:paraId="78882D71">
            <w:pPr>
              <w:spacing w:line="360" w:lineRule="auto"/>
              <w:rPr>
                <w:rFonts w:ascii="Times New Roman" w:hAnsi="Times New Roman" w:cs="宋体"/>
                <w:sz w:val="24"/>
                <w:szCs w:val="24"/>
              </w:rPr>
            </w:pPr>
            <w:r>
              <w:rPr>
                <w:rFonts w:hint="eastAsia" w:ascii="Times New Roman" w:hAnsi="Times New Roman" w:cs="宋体"/>
                <w:sz w:val="24"/>
                <w:szCs w:val="24"/>
              </w:rPr>
              <w:t>公司</w:t>
            </w:r>
            <w:r>
              <w:rPr>
                <w:rFonts w:hint="eastAsia" w:ascii="Times New Roman" w:hAnsi="Times New Roman" w:cs="宋体"/>
                <w:sz w:val="24"/>
                <w:szCs w:val="24"/>
                <w:u w:val="single"/>
              </w:rPr>
              <w:t xml:space="preserve">   （是否通过，何种）   </w:t>
            </w:r>
            <w:r>
              <w:rPr>
                <w:rFonts w:hint="eastAsia" w:ascii="Times New Roman" w:hAnsi="Times New Roman" w:cs="宋体"/>
                <w:sz w:val="24"/>
                <w:szCs w:val="24"/>
              </w:rPr>
              <w:t>质量保证体系认证（如通过请附相关在有效期内的证书复印件）</w:t>
            </w:r>
          </w:p>
        </w:tc>
      </w:tr>
      <w:tr w14:paraId="5285AB8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7394BEB">
            <w:pPr>
              <w:spacing w:line="360" w:lineRule="auto"/>
              <w:jc w:val="center"/>
              <w:rPr>
                <w:rFonts w:ascii="Times New Roman" w:hAnsi="Times New Roman" w:cs="宋体"/>
                <w:sz w:val="24"/>
                <w:szCs w:val="24"/>
              </w:rPr>
            </w:pPr>
            <w:r>
              <w:rPr>
                <w:rFonts w:hint="eastAsia" w:ascii="Times New Roman" w:hAnsi="Times New Roman" w:cs="宋体"/>
                <w:sz w:val="24"/>
                <w:szCs w:val="24"/>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14:paraId="14FD4989">
            <w:pPr>
              <w:spacing w:line="360" w:lineRule="auto"/>
              <w:jc w:val="center"/>
              <w:rPr>
                <w:rFonts w:ascii="Times New Roman" w:hAnsi="Times New Roman" w:cs="宋体"/>
                <w:sz w:val="24"/>
                <w:szCs w:val="24"/>
              </w:rPr>
            </w:pPr>
          </w:p>
        </w:tc>
        <w:tc>
          <w:tcPr>
            <w:tcW w:w="1417" w:type="dxa"/>
            <w:gridSpan w:val="2"/>
            <w:tcBorders>
              <w:top w:val="single" w:color="auto" w:sz="4" w:space="0"/>
              <w:left w:val="nil"/>
              <w:bottom w:val="single" w:color="auto" w:sz="4" w:space="0"/>
              <w:right w:val="single" w:color="auto" w:sz="4" w:space="0"/>
            </w:tcBorders>
            <w:noWrap w:val="0"/>
            <w:vAlign w:val="top"/>
          </w:tcPr>
          <w:p w14:paraId="540B98AF">
            <w:pPr>
              <w:spacing w:line="360" w:lineRule="auto"/>
              <w:jc w:val="center"/>
              <w:rPr>
                <w:rFonts w:ascii="Times New Roman" w:hAnsi="Times New Roman" w:cs="宋体"/>
                <w:sz w:val="24"/>
                <w:szCs w:val="24"/>
              </w:rPr>
            </w:pPr>
            <w:r>
              <w:rPr>
                <w:rFonts w:hint="eastAsia" w:ascii="Times New Roman" w:hAnsi="Times New Roman" w:cs="宋体"/>
                <w:sz w:val="24"/>
                <w:szCs w:val="24"/>
              </w:rPr>
              <w:t>年龄</w:t>
            </w:r>
          </w:p>
        </w:tc>
        <w:tc>
          <w:tcPr>
            <w:tcW w:w="1466" w:type="dxa"/>
            <w:gridSpan w:val="2"/>
            <w:tcBorders>
              <w:top w:val="single" w:color="auto" w:sz="4" w:space="0"/>
              <w:left w:val="nil"/>
              <w:bottom w:val="single" w:color="auto" w:sz="4" w:space="0"/>
              <w:right w:val="single" w:color="auto" w:sz="4" w:space="0"/>
            </w:tcBorders>
            <w:noWrap w:val="0"/>
            <w:vAlign w:val="top"/>
          </w:tcPr>
          <w:p w14:paraId="20069AC9">
            <w:pPr>
              <w:spacing w:line="360" w:lineRule="auto"/>
              <w:jc w:val="center"/>
              <w:rPr>
                <w:rFonts w:ascii="Times New Roman" w:hAnsi="Times New Roman" w:cs="宋体"/>
                <w:sz w:val="24"/>
                <w:szCs w:val="24"/>
              </w:rPr>
            </w:pPr>
          </w:p>
        </w:tc>
        <w:tc>
          <w:tcPr>
            <w:tcW w:w="1320" w:type="dxa"/>
            <w:tcBorders>
              <w:top w:val="single" w:color="auto" w:sz="4" w:space="0"/>
              <w:left w:val="nil"/>
              <w:bottom w:val="single" w:color="auto" w:sz="4" w:space="0"/>
              <w:right w:val="single" w:color="auto" w:sz="4" w:space="0"/>
            </w:tcBorders>
            <w:noWrap w:val="0"/>
            <w:vAlign w:val="top"/>
          </w:tcPr>
          <w:p w14:paraId="73F75210">
            <w:pPr>
              <w:spacing w:line="360" w:lineRule="auto"/>
              <w:jc w:val="center"/>
              <w:rPr>
                <w:rFonts w:ascii="Times New Roman" w:hAnsi="Times New Roman" w:cs="宋体"/>
                <w:sz w:val="24"/>
                <w:szCs w:val="24"/>
              </w:rPr>
            </w:pPr>
            <w:r>
              <w:rPr>
                <w:rFonts w:hint="eastAsia" w:ascii="Times New Roman" w:hAnsi="Times New Roman" w:cs="宋体"/>
                <w:sz w:val="24"/>
                <w:szCs w:val="24"/>
              </w:rPr>
              <w:t>性别</w:t>
            </w:r>
          </w:p>
        </w:tc>
        <w:tc>
          <w:tcPr>
            <w:tcW w:w="1467" w:type="dxa"/>
            <w:tcBorders>
              <w:top w:val="single" w:color="auto" w:sz="4" w:space="0"/>
              <w:left w:val="nil"/>
              <w:bottom w:val="single" w:color="auto" w:sz="4" w:space="0"/>
              <w:right w:val="single" w:color="auto" w:sz="4" w:space="0"/>
            </w:tcBorders>
            <w:noWrap w:val="0"/>
            <w:vAlign w:val="top"/>
          </w:tcPr>
          <w:p w14:paraId="4BCB8897">
            <w:pPr>
              <w:spacing w:line="360" w:lineRule="auto"/>
              <w:jc w:val="center"/>
              <w:rPr>
                <w:rFonts w:ascii="Times New Roman" w:hAnsi="Times New Roman" w:cs="宋体"/>
                <w:sz w:val="24"/>
                <w:szCs w:val="24"/>
              </w:rPr>
            </w:pPr>
          </w:p>
        </w:tc>
      </w:tr>
      <w:tr w14:paraId="40781A4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8B0A8C9">
            <w:pPr>
              <w:spacing w:line="360" w:lineRule="auto"/>
              <w:jc w:val="center"/>
              <w:rPr>
                <w:rFonts w:ascii="Times New Roman" w:hAnsi="Times New Roman" w:cs="宋体"/>
                <w:sz w:val="24"/>
                <w:szCs w:val="24"/>
              </w:rPr>
            </w:pPr>
            <w:r>
              <w:rPr>
                <w:rFonts w:hint="eastAsia" w:ascii="Times New Roman" w:hAnsi="Times New Roman" w:cs="宋体"/>
                <w:sz w:val="24"/>
                <w:szCs w:val="24"/>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14:paraId="32AD43DD">
            <w:pPr>
              <w:spacing w:line="360" w:lineRule="auto"/>
              <w:rPr>
                <w:rFonts w:ascii="Times New Roman" w:hAnsi="Times New Roman" w:cs="宋体"/>
                <w:sz w:val="24"/>
                <w:szCs w:val="24"/>
              </w:rPr>
            </w:pPr>
          </w:p>
        </w:tc>
        <w:tc>
          <w:tcPr>
            <w:tcW w:w="1466" w:type="dxa"/>
            <w:gridSpan w:val="2"/>
            <w:tcBorders>
              <w:top w:val="single" w:color="auto" w:sz="4" w:space="0"/>
              <w:left w:val="nil"/>
              <w:bottom w:val="single" w:color="auto" w:sz="4" w:space="0"/>
              <w:right w:val="single" w:color="auto" w:sz="4" w:space="0"/>
            </w:tcBorders>
            <w:noWrap w:val="0"/>
            <w:vAlign w:val="top"/>
          </w:tcPr>
          <w:p w14:paraId="67B38DDD">
            <w:pPr>
              <w:spacing w:line="360" w:lineRule="auto"/>
              <w:rPr>
                <w:rFonts w:ascii="Times New Roman" w:hAnsi="Times New Roman" w:cs="宋体"/>
                <w:sz w:val="24"/>
                <w:szCs w:val="24"/>
              </w:rPr>
            </w:pPr>
            <w:r>
              <w:rPr>
                <w:rFonts w:hint="eastAsia" w:ascii="Times New Roman" w:hAnsi="Times New Roman" w:cs="宋体"/>
                <w:sz w:val="24"/>
                <w:szCs w:val="24"/>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14:paraId="606BB6B0">
            <w:pPr>
              <w:spacing w:line="360" w:lineRule="auto"/>
              <w:rPr>
                <w:rFonts w:ascii="Times New Roman" w:hAnsi="Times New Roman" w:cs="宋体"/>
                <w:sz w:val="24"/>
                <w:szCs w:val="24"/>
              </w:rPr>
            </w:pPr>
          </w:p>
        </w:tc>
      </w:tr>
      <w:tr w14:paraId="18FA155E">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475356B">
            <w:pPr>
              <w:spacing w:line="360" w:lineRule="auto"/>
              <w:jc w:val="center"/>
              <w:rPr>
                <w:rFonts w:ascii="Times New Roman" w:hAnsi="Times New Roman" w:cs="宋体"/>
                <w:sz w:val="24"/>
                <w:szCs w:val="24"/>
              </w:rPr>
            </w:pPr>
            <w:r>
              <w:rPr>
                <w:rFonts w:hint="eastAsia" w:ascii="Times New Roman" w:hAnsi="Times New Roman" w:cs="宋体"/>
                <w:sz w:val="24"/>
                <w:szCs w:val="24"/>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14:paraId="51ADCFC9">
            <w:pPr>
              <w:spacing w:line="360" w:lineRule="auto"/>
              <w:rPr>
                <w:rFonts w:ascii="Times New Roman" w:hAnsi="Times New Roman" w:cs="宋体"/>
                <w:sz w:val="24"/>
                <w:szCs w:val="24"/>
              </w:rPr>
            </w:pPr>
            <w:r>
              <w:rPr>
                <w:rFonts w:hint="eastAsia" w:ascii="Times New Roman" w:hAnsi="Times New Roman" w:cs="宋体"/>
                <w:sz w:val="24"/>
                <w:szCs w:val="24"/>
              </w:rPr>
              <w:t>营业执照载明：</w:t>
            </w:r>
          </w:p>
          <w:p w14:paraId="5EE0BD47">
            <w:pPr>
              <w:spacing w:line="360" w:lineRule="auto"/>
              <w:rPr>
                <w:rFonts w:ascii="Times New Roman" w:hAnsi="Times New Roman" w:cs="宋体"/>
                <w:sz w:val="24"/>
                <w:szCs w:val="24"/>
                <w:u w:val="single"/>
              </w:rPr>
            </w:pPr>
            <w:r>
              <w:rPr>
                <w:rFonts w:hint="eastAsia" w:ascii="Times New Roman" w:hAnsi="Times New Roman" w:cs="宋体"/>
                <w:sz w:val="24"/>
                <w:szCs w:val="24"/>
              </w:rPr>
              <w:t>1.</w:t>
            </w:r>
          </w:p>
          <w:p w14:paraId="07B584BE">
            <w:pPr>
              <w:spacing w:line="360" w:lineRule="auto"/>
              <w:rPr>
                <w:rFonts w:ascii="Times New Roman" w:hAnsi="Times New Roman" w:cs="宋体"/>
                <w:sz w:val="24"/>
                <w:szCs w:val="24"/>
                <w:u w:val="single"/>
              </w:rPr>
            </w:pPr>
            <w:r>
              <w:rPr>
                <w:rFonts w:hint="eastAsia" w:ascii="Times New Roman" w:hAnsi="Times New Roman" w:cs="宋体"/>
                <w:sz w:val="24"/>
                <w:szCs w:val="24"/>
              </w:rPr>
              <w:t>2.</w:t>
            </w:r>
          </w:p>
          <w:p w14:paraId="29E64E2B">
            <w:pPr>
              <w:spacing w:line="360" w:lineRule="auto"/>
              <w:rPr>
                <w:rFonts w:ascii="Times New Roman" w:hAnsi="Times New Roman" w:cs="宋体"/>
                <w:sz w:val="24"/>
                <w:szCs w:val="24"/>
              </w:rPr>
            </w:pPr>
            <w:r>
              <w:rPr>
                <w:rFonts w:hint="eastAsia" w:ascii="Times New Roman" w:hAnsi="Times New Roman" w:cs="宋体"/>
                <w:sz w:val="24"/>
                <w:szCs w:val="24"/>
              </w:rPr>
              <w:t>………………………</w:t>
            </w:r>
          </w:p>
        </w:tc>
      </w:tr>
      <w:tr w14:paraId="0735234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B7E6512">
            <w:pPr>
              <w:spacing w:line="360" w:lineRule="auto"/>
              <w:rPr>
                <w:rFonts w:ascii="Times New Roman" w:hAnsi="Times New Roman" w:cs="宋体"/>
                <w:sz w:val="24"/>
                <w:szCs w:val="24"/>
              </w:rPr>
            </w:pPr>
            <w:r>
              <w:rPr>
                <w:rFonts w:hint="eastAsia" w:ascii="Times New Roman" w:hAnsi="Times New Roman" w:cs="宋体"/>
                <w:sz w:val="24"/>
                <w:szCs w:val="24"/>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14:paraId="23470065">
            <w:pPr>
              <w:spacing w:line="360" w:lineRule="auto"/>
              <w:rPr>
                <w:rFonts w:ascii="Times New Roman" w:hAnsi="Times New Roman" w:cs="宋体"/>
                <w:sz w:val="24"/>
                <w:szCs w:val="24"/>
              </w:rPr>
            </w:pPr>
          </w:p>
        </w:tc>
      </w:tr>
      <w:tr w14:paraId="2607E268">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41FE15FE">
            <w:pPr>
              <w:spacing w:line="360" w:lineRule="auto"/>
              <w:rPr>
                <w:rFonts w:ascii="Times New Roman" w:hAnsi="Times New Roman" w:cs="宋体"/>
                <w:sz w:val="24"/>
                <w:szCs w:val="24"/>
              </w:rPr>
            </w:pPr>
            <w:r>
              <w:rPr>
                <w:rFonts w:hint="eastAsia" w:ascii="Times New Roman" w:hAnsi="Times New Roman" w:cs="宋体"/>
                <w:sz w:val="24"/>
                <w:szCs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14:paraId="43EAD9AF">
            <w:pPr>
              <w:spacing w:line="360" w:lineRule="auto"/>
              <w:rPr>
                <w:rFonts w:ascii="Times New Roman" w:hAnsi="Times New Roman" w:cs="宋体"/>
                <w:sz w:val="24"/>
                <w:szCs w:val="24"/>
              </w:rPr>
            </w:pPr>
          </w:p>
        </w:tc>
      </w:tr>
    </w:tbl>
    <w:p w14:paraId="1498CB8B">
      <w:pPr>
        <w:spacing w:line="360" w:lineRule="auto"/>
        <w:ind w:firstLine="480" w:firstLineChars="200"/>
        <w:jc w:val="right"/>
        <w:rPr>
          <w:rFonts w:ascii="Times New Roman" w:hAnsi="Times New Roman" w:cs="宋体"/>
          <w:sz w:val="24"/>
          <w:szCs w:val="24"/>
        </w:rPr>
      </w:pPr>
      <w:r>
        <w:rPr>
          <w:rFonts w:hint="eastAsia" w:ascii="Times New Roman" w:hAnsi="Times New Roman" w:cs="宋体"/>
          <w:sz w:val="24"/>
          <w:szCs w:val="24"/>
        </w:rPr>
        <w:t>供应商：（加盖公章）</w:t>
      </w:r>
    </w:p>
    <w:p w14:paraId="68FA0755">
      <w:pPr>
        <w:spacing w:line="360" w:lineRule="auto"/>
        <w:ind w:firstLine="480" w:firstLineChars="200"/>
        <w:jc w:val="right"/>
        <w:rPr>
          <w:rFonts w:ascii="Times New Roman" w:hAnsi="Times New Roman" w:cs="宋体"/>
          <w:sz w:val="24"/>
          <w:szCs w:val="24"/>
        </w:rPr>
      </w:pPr>
      <w:r>
        <w:rPr>
          <w:rFonts w:hint="eastAsia" w:ascii="Times New Roman" w:hAnsi="Times New Roman" w:cs="宋体"/>
          <w:sz w:val="24"/>
          <w:szCs w:val="24"/>
        </w:rPr>
        <w:t>法定代表人或被授权人：（签字或盖章）</w:t>
      </w:r>
    </w:p>
    <w:p w14:paraId="37205B1E">
      <w:pPr>
        <w:spacing w:line="360" w:lineRule="auto"/>
        <w:ind w:firstLine="1320" w:firstLineChars="550"/>
        <w:jc w:val="right"/>
        <w:rPr>
          <w:rFonts w:ascii="Times New Roman" w:hAnsi="Times New Roman" w:cs="宋体"/>
          <w:sz w:val="24"/>
          <w:szCs w:val="24"/>
        </w:rPr>
      </w:pPr>
      <w:r>
        <w:rPr>
          <w:rFonts w:hint="eastAsia" w:ascii="Times New Roman" w:hAnsi="Times New Roman" w:cs="宋体"/>
          <w:sz w:val="24"/>
          <w:szCs w:val="24"/>
        </w:rPr>
        <w:t>年      月     日</w:t>
      </w:r>
    </w:p>
    <w:p w14:paraId="75556BD6">
      <w:pPr>
        <w:rPr>
          <w:rFonts w:hint="eastAsia" w:ascii="Times New Roman" w:hAnsi="Times New Roman" w:eastAsia="宋体"/>
          <w:b/>
          <w:sz w:val="24"/>
          <w:szCs w:val="24"/>
          <w:lang w:val="en-US" w:eastAsia="zh-CN"/>
        </w:rPr>
      </w:pPr>
    </w:p>
    <w:p w14:paraId="7371FE56">
      <w:pPr>
        <w:rPr>
          <w:rFonts w:ascii="Times New Roman" w:hAnsi="Times New Roman" w:eastAsia="宋体"/>
          <w:sz w:val="24"/>
          <w:szCs w:val="24"/>
        </w:rPr>
      </w:pPr>
      <w:r>
        <w:rPr>
          <w:rFonts w:hint="eastAsia" w:ascii="Times New Roman" w:hAnsi="Times New Roman" w:eastAsia="宋体"/>
          <w:b/>
          <w:sz w:val="24"/>
          <w:szCs w:val="24"/>
          <w:lang w:val="en-US" w:eastAsia="zh-CN"/>
        </w:rPr>
        <w:br w:type="page"/>
      </w:r>
    </w:p>
    <w:p w14:paraId="04A9112A">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sz w:val="24"/>
          <w:szCs w:val="24"/>
        </w:rPr>
      </w:pPr>
      <w:r>
        <w:rPr>
          <w:rFonts w:hint="eastAsia" w:ascii="Times New Roman" w:hAnsi="Times New Roman" w:eastAsia="宋体"/>
          <w:b/>
          <w:sz w:val="24"/>
          <w:szCs w:val="24"/>
          <w:lang w:val="en-US" w:eastAsia="zh-CN"/>
        </w:rPr>
        <w:t>8</w:t>
      </w:r>
      <w:r>
        <w:rPr>
          <w:rFonts w:hint="eastAsia" w:ascii="Times New Roman" w:hAnsi="Times New Roman" w:eastAsia="宋体"/>
          <w:b/>
          <w:sz w:val="24"/>
          <w:szCs w:val="24"/>
        </w:rPr>
        <w:t>、技术</w:t>
      </w:r>
      <w:r>
        <w:rPr>
          <w:rFonts w:hint="eastAsia" w:ascii="Times New Roman" w:hAnsi="Times New Roman" w:eastAsia="宋体"/>
          <w:b/>
          <w:sz w:val="24"/>
          <w:szCs w:val="24"/>
          <w:lang w:eastAsia="zh-CN"/>
        </w:rPr>
        <w:t>商务</w:t>
      </w:r>
      <w:r>
        <w:rPr>
          <w:rFonts w:hint="eastAsia" w:ascii="Times New Roman" w:hAnsi="Times New Roman" w:eastAsia="宋体"/>
          <w:b/>
          <w:sz w:val="24"/>
          <w:szCs w:val="24"/>
        </w:rPr>
        <w:t>条款响应正负偏离表</w:t>
      </w:r>
    </w:p>
    <w:p w14:paraId="350DD0E2">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14:paraId="17641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noWrap w:val="0"/>
            <w:vAlign w:val="center"/>
          </w:tcPr>
          <w:p w14:paraId="5151AA6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357" w:type="dxa"/>
            <w:tcBorders>
              <w:top w:val="single" w:color="auto" w:sz="12" w:space="0"/>
              <w:left w:val="single" w:color="auto" w:sz="6" w:space="0"/>
              <w:bottom w:val="single" w:color="auto" w:sz="6" w:space="0"/>
              <w:right w:val="single" w:color="auto" w:sz="6" w:space="0"/>
            </w:tcBorders>
            <w:noWrap w:val="0"/>
            <w:vAlign w:val="center"/>
          </w:tcPr>
          <w:p w14:paraId="7EE186F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302" w:type="dxa"/>
            <w:tcBorders>
              <w:top w:val="single" w:color="auto" w:sz="12" w:space="0"/>
              <w:left w:val="single" w:color="auto" w:sz="6" w:space="0"/>
              <w:bottom w:val="single" w:color="auto" w:sz="6" w:space="0"/>
              <w:right w:val="single" w:color="auto" w:sz="6" w:space="0"/>
            </w:tcBorders>
            <w:noWrap w:val="0"/>
            <w:vAlign w:val="center"/>
          </w:tcPr>
          <w:p w14:paraId="7943DD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14:paraId="732E205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center"/>
          </w:tcPr>
          <w:p w14:paraId="7A1C13B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14:paraId="382DE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2118AA7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01F8721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94AC53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25466F7">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5D53BB6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14:paraId="38168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477E34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C5B9AE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256EEE0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457216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7847E9E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14:paraId="6021E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7460CC9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4FB453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141C27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38AB8F2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19F234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14:paraId="0BCA1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9457C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2B82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36E393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7C705B5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45C2914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bl>
    <w:p w14:paraId="1489A23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14:paraId="3663099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项目需求说明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中的技术</w:t>
      </w:r>
      <w:r>
        <w:rPr>
          <w:rFonts w:hint="eastAsia" w:ascii="Times New Roman" w:hAnsi="Times New Roman" w:eastAsia="宋体" w:cs="宋体"/>
          <w:sz w:val="24"/>
          <w:szCs w:val="24"/>
          <w:lang w:eastAsia="zh-CN"/>
        </w:rPr>
        <w:t>及商务</w:t>
      </w:r>
      <w:r>
        <w:rPr>
          <w:rFonts w:ascii="Times New Roman" w:hAnsi="Times New Roman" w:eastAsia="宋体" w:cs="宋体"/>
          <w:sz w:val="24"/>
          <w:szCs w:val="24"/>
        </w:rPr>
        <w:t>部分的要求有不同时，应逐条填列在偏离表中，否则将认为响应人接受磋商文件的所有要求。完全响应部分不填。</w:t>
      </w:r>
    </w:p>
    <w:p w14:paraId="4DE403E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偏离说明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一栏选择</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正偏离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负偏离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进行填写。正偏离的确认和负偏离的是否相应磋商文件，经三分之二评委认定。</w:t>
      </w:r>
    </w:p>
    <w:p w14:paraId="5CB36D5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14:paraId="60163FF7">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14:paraId="42AC6E95">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14:paraId="186DF948">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14:paraId="4F4AEC50">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14:paraId="08357CB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14:paraId="1D26B32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14:paraId="6057A296">
      <w:pPr>
        <w:rPr>
          <w:rFonts w:hint="eastAsia" w:ascii="Times New Roman" w:hAnsi="Times New Roman" w:eastAsia="宋体" w:cs="宋体"/>
          <w:b/>
          <w:sz w:val="24"/>
          <w:szCs w:val="24"/>
          <w:lang w:val="en-US" w:eastAsia="zh-CN"/>
        </w:rPr>
      </w:pPr>
    </w:p>
    <w:p w14:paraId="2B9F3D50">
      <w:pPr>
        <w:rPr>
          <w:rFonts w:hint="eastAsia" w:ascii="Times New Roman" w:hAnsi="Times New Roman" w:eastAsia="宋体" w:cs="宋体"/>
          <w:b/>
          <w:sz w:val="24"/>
          <w:szCs w:val="24"/>
          <w:lang w:val="en-US" w:eastAsia="zh-CN"/>
        </w:rPr>
      </w:pPr>
      <w:r>
        <w:rPr>
          <w:rFonts w:hint="eastAsia" w:ascii="Times New Roman" w:hAnsi="Times New Roman" w:eastAsia="宋体" w:cs="宋体"/>
          <w:b/>
          <w:sz w:val="24"/>
          <w:szCs w:val="24"/>
          <w:lang w:val="en-US" w:eastAsia="zh-CN"/>
        </w:rPr>
        <w:br w:type="page"/>
      </w:r>
    </w:p>
    <w:p w14:paraId="458D3AD3">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rPr>
      </w:pPr>
      <w:r>
        <w:rPr>
          <w:rFonts w:hint="eastAsia" w:ascii="Times New Roman" w:hAnsi="Times New Roman" w:eastAsia="宋体" w:cs="宋体"/>
          <w:b/>
          <w:sz w:val="24"/>
          <w:szCs w:val="24"/>
          <w:lang w:val="en-US" w:eastAsia="zh-CN"/>
        </w:rPr>
        <w:t>9</w:t>
      </w:r>
      <w:r>
        <w:rPr>
          <w:rFonts w:hint="eastAsia" w:ascii="Times New Roman" w:hAnsi="Times New Roman" w:eastAsia="宋体" w:cs="宋体"/>
          <w:b/>
          <w:sz w:val="24"/>
          <w:szCs w:val="24"/>
        </w:rPr>
        <w:t>、磋商响应报价表</w:t>
      </w:r>
    </w:p>
    <w:p w14:paraId="3CF2F475">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南通市第三人民医院消防系统改造项目</w:t>
      </w:r>
    </w:p>
    <w:tbl>
      <w:tblPr>
        <w:tblStyle w:val="25"/>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14:paraId="621F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61D7714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180" w:type="dxa"/>
            <w:tcBorders>
              <w:top w:val="single" w:color="auto" w:sz="4" w:space="0"/>
              <w:left w:val="single" w:color="auto" w:sz="4" w:space="0"/>
              <w:bottom w:val="single" w:color="auto" w:sz="4" w:space="0"/>
              <w:right w:val="single" w:color="auto" w:sz="4" w:space="0"/>
            </w:tcBorders>
            <w:vAlign w:val="center"/>
          </w:tcPr>
          <w:p w14:paraId="4F511CA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14:paraId="15FA82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14:paraId="3EBC2F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w:t>
            </w:r>
            <w:r>
              <w:rPr>
                <w:rFonts w:hint="eastAsia" w:ascii="Times New Roman" w:hAnsi="Times New Roman"/>
                <w:b/>
                <w:sz w:val="24"/>
                <w:szCs w:val="24"/>
              </w:rPr>
              <w:t>（元）</w:t>
            </w:r>
          </w:p>
        </w:tc>
        <w:tc>
          <w:tcPr>
            <w:tcW w:w="806" w:type="dxa"/>
            <w:tcBorders>
              <w:top w:val="single" w:color="auto" w:sz="4" w:space="0"/>
              <w:left w:val="single" w:color="auto" w:sz="4" w:space="0"/>
              <w:bottom w:val="single" w:color="auto" w:sz="4" w:space="0"/>
              <w:right w:val="single" w:color="auto" w:sz="4" w:space="0"/>
            </w:tcBorders>
            <w:vAlign w:val="center"/>
          </w:tcPr>
          <w:p w14:paraId="52D847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14:paraId="236E9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E223D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180" w:type="dxa"/>
            <w:vMerge w:val="restart"/>
            <w:tcBorders>
              <w:top w:val="single" w:color="auto" w:sz="4" w:space="0"/>
              <w:left w:val="single" w:color="auto" w:sz="4" w:space="0"/>
              <w:right w:val="single" w:color="auto" w:sz="4" w:space="0"/>
            </w:tcBorders>
            <w:vAlign w:val="center"/>
          </w:tcPr>
          <w:p w14:paraId="31FA80EF">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4"/>
                <w:szCs w:val="24"/>
                <w:lang w:eastAsia="zh-CN"/>
              </w:rPr>
              <w:t>南通市第三人民医院消防系统改造项目</w:t>
            </w:r>
          </w:p>
        </w:tc>
        <w:tc>
          <w:tcPr>
            <w:tcW w:w="1945" w:type="dxa"/>
            <w:tcBorders>
              <w:top w:val="single" w:color="auto" w:sz="4" w:space="0"/>
              <w:left w:val="single" w:color="auto" w:sz="4" w:space="0"/>
              <w:bottom w:val="single" w:color="auto" w:sz="4" w:space="0"/>
              <w:right w:val="single" w:color="auto" w:sz="4" w:space="0"/>
            </w:tcBorders>
            <w:vAlign w:val="center"/>
          </w:tcPr>
          <w:p w14:paraId="68E8449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14:paraId="572A8FB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14:paraId="14360A7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039D738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r w14:paraId="58DF0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E83C4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180" w:type="dxa"/>
            <w:vMerge w:val="continue"/>
            <w:tcBorders>
              <w:left w:val="single" w:color="auto" w:sz="4" w:space="0"/>
              <w:right w:val="single" w:color="auto" w:sz="4" w:space="0"/>
            </w:tcBorders>
            <w:vAlign w:val="center"/>
          </w:tcPr>
          <w:p w14:paraId="2FB6079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70C67E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14:paraId="4EA88764">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14:paraId="40BB3A81">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1651A4E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bl>
    <w:p w14:paraId="1AE0BD19">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14:paraId="22CDA91C">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14:paraId="313797E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0"/>
        </w:rPr>
      </w:pPr>
    </w:p>
    <w:p w14:paraId="5E4CED0F">
      <w:pPr>
        <w:pStyle w:val="13"/>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年月日</w:t>
      </w:r>
    </w:p>
    <w:p w14:paraId="5938DC34">
      <w:pPr>
        <w:pStyle w:val="13"/>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14:paraId="1195DA9F">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14:paraId="2D7A0F9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14:paraId="7A591F9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14:paraId="1023D42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w:t>
      </w:r>
      <w:r>
        <w:rPr>
          <w:rFonts w:hint="eastAsia" w:ascii="Times New Roman" w:hAnsi="Times New Roman" w:eastAsia="宋体"/>
          <w:bCs/>
          <w:sz w:val="24"/>
          <w:szCs w:val="24"/>
          <w:lang w:eastAsia="zh-CN"/>
        </w:rPr>
        <w:t>包含但不限于</w:t>
      </w:r>
      <w:r>
        <w:rPr>
          <w:rFonts w:hint="eastAsia" w:ascii="Times New Roman" w:hAnsi="Times New Roman" w:eastAsia="宋体"/>
          <w:bCs/>
          <w:sz w:val="24"/>
          <w:szCs w:val="24"/>
        </w:rPr>
        <w:t>成本、利润、税金、开办费、政策性调整风险费等的所有费用；</w:t>
      </w:r>
      <w:r>
        <w:rPr>
          <w:rFonts w:hint="eastAsia" w:ascii="Times New Roman" w:hAnsi="Times New Roman" w:eastAsia="宋体" w:cs="宋体"/>
          <w:sz w:val="24"/>
          <w:szCs w:val="24"/>
        </w:rPr>
        <w:t>辅材费、</w:t>
      </w:r>
      <w:r>
        <w:rPr>
          <w:rFonts w:hint="eastAsia" w:ascii="Times New Roman" w:hAnsi="Times New Roman" w:eastAsia="宋体"/>
          <w:bCs/>
          <w:sz w:val="24"/>
          <w:szCs w:val="24"/>
        </w:rPr>
        <w:t>人工费、检测费、管理费；国家税务部门规定的各项税金；相关伴随服务以及售后服务等一切费用</w:t>
      </w:r>
      <w:r>
        <w:rPr>
          <w:rFonts w:hint="eastAsia" w:ascii="Times New Roman" w:hAnsi="Times New Roman" w:eastAsia="宋体" w:cs="宋体"/>
          <w:sz w:val="24"/>
          <w:szCs w:val="24"/>
        </w:rPr>
        <w:t>。同时，报价也包含了合同履行过程中可能发生的一切风险。</w:t>
      </w:r>
    </w:p>
    <w:p w14:paraId="39B82C5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w:t>
      </w:r>
      <w:r>
        <w:rPr>
          <w:rFonts w:hint="eastAsia" w:ascii="Times New Roman" w:hAnsi="Times New Roman" w:eastAsia="宋体"/>
          <w:b/>
          <w:bCs/>
          <w:sz w:val="24"/>
          <w:szCs w:val="24"/>
        </w:rPr>
        <w:t>报价明细表总价金额</w:t>
      </w:r>
      <w:r>
        <w:rPr>
          <w:rFonts w:hint="eastAsia" w:ascii="Times New Roman" w:hAnsi="Times New Roman" w:eastAsia="宋体"/>
          <w:b/>
          <w:color w:val="000000" w:themeColor="text1"/>
          <w:sz w:val="24"/>
          <w:szCs w:val="24"/>
          <w14:textFill>
            <w14:solidFill>
              <w14:schemeClr w14:val="tx1"/>
            </w14:solidFill>
          </w14:textFill>
        </w:rPr>
        <w:t>应当与首次报价表金额相等，且第二次报价时，磋商响应报价明细表按同比例下浮。</w:t>
      </w:r>
    </w:p>
    <w:p w14:paraId="0D8137EC">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14:paraId="7B2CABD5">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lang w:val="en-US" w:eastAsia="zh-CN"/>
        </w:rPr>
        <w:t>10、</w:t>
      </w:r>
      <w:r>
        <w:rPr>
          <w:rFonts w:hint="eastAsia" w:ascii="Times New Roman" w:hAnsi="Times New Roman" w:eastAsia="宋体" w:cs="宋体"/>
          <w:b/>
          <w:sz w:val="24"/>
          <w:szCs w:val="24"/>
        </w:rPr>
        <w:t>磋商响应报价明细表</w:t>
      </w:r>
    </w:p>
    <w:p w14:paraId="6BA8BFFC">
      <w:pPr>
        <w:spacing w:line="360" w:lineRule="auto"/>
        <w:rPr>
          <w:rFonts w:hint="eastAsia" w:ascii="Times New Roman" w:hAnsi="Times New Roman" w:eastAsia="宋体"/>
          <w:bCs/>
          <w:sz w:val="24"/>
          <w:szCs w:val="24"/>
        </w:rPr>
      </w:pPr>
      <w:r>
        <w:rPr>
          <w:rFonts w:hint="eastAsia"/>
          <w:sz w:val="24"/>
          <w:szCs w:val="24"/>
        </w:rPr>
        <w:t>项目名称：</w:t>
      </w:r>
      <w:r>
        <w:rPr>
          <w:rFonts w:hint="eastAsia"/>
          <w:sz w:val="24"/>
          <w:szCs w:val="24"/>
          <w:lang w:eastAsia="zh-CN"/>
        </w:rPr>
        <w:t>南通市第三人民医院消防系统改造项目</w:t>
      </w:r>
    </w:p>
    <w:tbl>
      <w:tblPr>
        <w:tblStyle w:val="25"/>
        <w:tblW w:w="0" w:type="auto"/>
        <w:jc w:val="center"/>
        <w:tblLayout w:type="fixed"/>
        <w:tblCellMar>
          <w:top w:w="0" w:type="dxa"/>
          <w:left w:w="108" w:type="dxa"/>
          <w:bottom w:w="0" w:type="dxa"/>
          <w:right w:w="108" w:type="dxa"/>
        </w:tblCellMar>
      </w:tblPr>
      <w:tblGrid>
        <w:gridCol w:w="784"/>
        <w:gridCol w:w="3350"/>
        <w:gridCol w:w="991"/>
        <w:gridCol w:w="993"/>
        <w:gridCol w:w="857"/>
        <w:gridCol w:w="750"/>
        <w:gridCol w:w="1920"/>
      </w:tblGrid>
      <w:tr w14:paraId="775A8DC1">
        <w:tblPrEx>
          <w:tblCellMar>
            <w:top w:w="0" w:type="dxa"/>
            <w:left w:w="108" w:type="dxa"/>
            <w:bottom w:w="0" w:type="dxa"/>
            <w:right w:w="108" w:type="dxa"/>
          </w:tblCellMar>
        </w:tblPrEx>
        <w:trPr>
          <w:trHeight w:val="460" w:hRule="atLeast"/>
          <w:jc w:val="center"/>
        </w:trPr>
        <w:tc>
          <w:tcPr>
            <w:tcW w:w="9645" w:type="dxa"/>
            <w:gridSpan w:val="7"/>
            <w:tcBorders>
              <w:top w:val="single" w:color="auto" w:sz="4" w:space="0"/>
              <w:left w:val="single" w:color="auto" w:sz="4" w:space="0"/>
              <w:bottom w:val="single" w:color="auto" w:sz="4" w:space="0"/>
              <w:right w:val="single" w:color="auto" w:sz="4" w:space="0"/>
            </w:tcBorders>
            <w:noWrap w:val="0"/>
            <w:vAlign w:val="center"/>
          </w:tcPr>
          <w:p w14:paraId="4E87758A">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lang w:eastAsia="zh-CN"/>
              </w:rPr>
              <w:t>消防系统改造</w:t>
            </w:r>
            <w:r>
              <w:rPr>
                <w:rFonts w:hint="eastAsia" w:ascii="宋体" w:hAnsi="宋体" w:cs="宋体"/>
                <w:b/>
                <w:bCs/>
                <w:color w:val="000000"/>
                <w:kern w:val="0"/>
                <w:sz w:val="28"/>
                <w:szCs w:val="28"/>
              </w:rPr>
              <w:t>项目清单</w:t>
            </w:r>
          </w:p>
        </w:tc>
      </w:tr>
      <w:tr w14:paraId="70123696">
        <w:tblPrEx>
          <w:tblCellMar>
            <w:top w:w="0" w:type="dxa"/>
            <w:left w:w="108" w:type="dxa"/>
            <w:bottom w:w="0" w:type="dxa"/>
            <w:right w:w="108" w:type="dxa"/>
          </w:tblCellMar>
        </w:tblPrEx>
        <w:trPr>
          <w:trHeight w:val="622" w:hRule="atLeast"/>
          <w:jc w:val="center"/>
        </w:trPr>
        <w:tc>
          <w:tcPr>
            <w:tcW w:w="784" w:type="dxa"/>
            <w:tcBorders>
              <w:top w:val="nil"/>
              <w:left w:val="single" w:color="auto" w:sz="4" w:space="0"/>
              <w:bottom w:val="single" w:color="auto" w:sz="4" w:space="0"/>
              <w:right w:val="single" w:color="auto" w:sz="4" w:space="0"/>
            </w:tcBorders>
            <w:noWrap w:val="0"/>
            <w:vAlign w:val="center"/>
          </w:tcPr>
          <w:p w14:paraId="70FF239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3350" w:type="dxa"/>
            <w:tcBorders>
              <w:top w:val="nil"/>
              <w:left w:val="nil"/>
              <w:bottom w:val="single" w:color="auto" w:sz="4" w:space="0"/>
              <w:right w:val="single" w:color="auto" w:sz="4" w:space="0"/>
            </w:tcBorders>
            <w:noWrap w:val="0"/>
            <w:vAlign w:val="center"/>
          </w:tcPr>
          <w:p w14:paraId="531733A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 目</w:t>
            </w:r>
          </w:p>
        </w:tc>
        <w:tc>
          <w:tcPr>
            <w:tcW w:w="991" w:type="dxa"/>
            <w:tcBorders>
              <w:top w:val="nil"/>
              <w:left w:val="nil"/>
              <w:bottom w:val="single" w:color="auto" w:sz="4" w:space="0"/>
              <w:right w:val="single" w:color="auto" w:sz="4" w:space="0"/>
            </w:tcBorders>
            <w:noWrap w:val="0"/>
            <w:vAlign w:val="center"/>
          </w:tcPr>
          <w:p w14:paraId="430D15A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数量</w:t>
            </w:r>
          </w:p>
        </w:tc>
        <w:tc>
          <w:tcPr>
            <w:tcW w:w="993" w:type="dxa"/>
            <w:tcBorders>
              <w:top w:val="nil"/>
              <w:left w:val="nil"/>
              <w:bottom w:val="single" w:color="auto" w:sz="4" w:space="0"/>
              <w:right w:val="single" w:color="auto" w:sz="4" w:space="0"/>
            </w:tcBorders>
            <w:noWrap w:val="0"/>
            <w:vAlign w:val="center"/>
          </w:tcPr>
          <w:p w14:paraId="2C176D3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单位</w:t>
            </w:r>
          </w:p>
        </w:tc>
        <w:tc>
          <w:tcPr>
            <w:tcW w:w="857" w:type="dxa"/>
            <w:tcBorders>
              <w:top w:val="nil"/>
              <w:left w:val="nil"/>
              <w:bottom w:val="single" w:color="auto" w:sz="4" w:space="0"/>
              <w:right w:val="single" w:color="auto" w:sz="4" w:space="0"/>
            </w:tcBorders>
            <w:noWrap w:val="0"/>
            <w:vAlign w:val="center"/>
          </w:tcPr>
          <w:p w14:paraId="71C1BBD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单价</w:t>
            </w:r>
          </w:p>
        </w:tc>
        <w:tc>
          <w:tcPr>
            <w:tcW w:w="750" w:type="dxa"/>
            <w:tcBorders>
              <w:top w:val="nil"/>
              <w:left w:val="nil"/>
              <w:bottom w:val="single" w:color="auto" w:sz="4" w:space="0"/>
              <w:right w:val="single" w:color="auto" w:sz="4" w:space="0"/>
            </w:tcBorders>
            <w:noWrap w:val="0"/>
            <w:vAlign w:val="center"/>
          </w:tcPr>
          <w:p w14:paraId="120ABB6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合计</w:t>
            </w:r>
          </w:p>
        </w:tc>
        <w:tc>
          <w:tcPr>
            <w:tcW w:w="1920" w:type="dxa"/>
            <w:tcBorders>
              <w:top w:val="nil"/>
              <w:left w:val="nil"/>
              <w:bottom w:val="single" w:color="auto" w:sz="4" w:space="0"/>
              <w:right w:val="single" w:color="auto" w:sz="4" w:space="0"/>
            </w:tcBorders>
            <w:noWrap w:val="0"/>
            <w:vAlign w:val="center"/>
          </w:tcPr>
          <w:p w14:paraId="65FF3B6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备注</w:t>
            </w:r>
          </w:p>
        </w:tc>
      </w:tr>
      <w:tr w14:paraId="2AA3F979">
        <w:tblPrEx>
          <w:tblCellMar>
            <w:top w:w="0" w:type="dxa"/>
            <w:left w:w="108" w:type="dxa"/>
            <w:bottom w:w="0" w:type="dxa"/>
            <w:right w:w="108" w:type="dxa"/>
          </w:tblCellMar>
        </w:tblPrEx>
        <w:trPr>
          <w:trHeight w:val="502" w:hRule="atLeast"/>
          <w:jc w:val="center"/>
        </w:trPr>
        <w:tc>
          <w:tcPr>
            <w:tcW w:w="784" w:type="dxa"/>
            <w:tcBorders>
              <w:top w:val="nil"/>
              <w:left w:val="single" w:color="auto" w:sz="4" w:space="0"/>
              <w:bottom w:val="single" w:color="auto" w:sz="4" w:space="0"/>
              <w:right w:val="single" w:color="auto" w:sz="4" w:space="0"/>
            </w:tcBorders>
            <w:noWrap w:val="0"/>
            <w:vAlign w:val="center"/>
          </w:tcPr>
          <w:p w14:paraId="60E445D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3350" w:type="dxa"/>
            <w:tcBorders>
              <w:top w:val="nil"/>
              <w:left w:val="nil"/>
              <w:bottom w:val="single" w:color="auto" w:sz="4" w:space="0"/>
              <w:right w:val="single" w:color="auto" w:sz="4" w:space="0"/>
            </w:tcBorders>
            <w:noWrap w:val="0"/>
            <w:vAlign w:val="center"/>
          </w:tcPr>
          <w:p w14:paraId="2B541B0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甲级防火门</w:t>
            </w:r>
          </w:p>
        </w:tc>
        <w:tc>
          <w:tcPr>
            <w:tcW w:w="991" w:type="dxa"/>
            <w:tcBorders>
              <w:top w:val="nil"/>
              <w:left w:val="nil"/>
              <w:bottom w:val="single" w:color="auto" w:sz="4" w:space="0"/>
              <w:right w:val="single" w:color="auto" w:sz="4" w:space="0"/>
            </w:tcBorders>
            <w:noWrap w:val="0"/>
            <w:vAlign w:val="center"/>
          </w:tcPr>
          <w:p w14:paraId="1755C12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993" w:type="dxa"/>
            <w:tcBorders>
              <w:top w:val="nil"/>
              <w:left w:val="nil"/>
              <w:bottom w:val="single" w:color="auto" w:sz="4" w:space="0"/>
              <w:right w:val="single" w:color="auto" w:sz="4" w:space="0"/>
            </w:tcBorders>
            <w:noWrap w:val="0"/>
            <w:vAlign w:val="center"/>
          </w:tcPr>
          <w:p w14:paraId="76BA0E5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樘</w:t>
            </w:r>
          </w:p>
        </w:tc>
        <w:tc>
          <w:tcPr>
            <w:tcW w:w="857" w:type="dxa"/>
            <w:tcBorders>
              <w:top w:val="nil"/>
              <w:left w:val="nil"/>
              <w:bottom w:val="single" w:color="auto" w:sz="4" w:space="0"/>
              <w:right w:val="single" w:color="auto" w:sz="4" w:space="0"/>
            </w:tcBorders>
            <w:noWrap w:val="0"/>
            <w:vAlign w:val="center"/>
          </w:tcPr>
          <w:p w14:paraId="14BDDDEF">
            <w:pPr>
              <w:widowControl/>
              <w:jc w:val="center"/>
              <w:rPr>
                <w:rFonts w:hint="eastAsia" w:ascii="宋体" w:hAnsi="宋体" w:cs="宋体"/>
                <w:color w:val="000000"/>
                <w:kern w:val="0"/>
                <w:sz w:val="24"/>
                <w:szCs w:val="24"/>
              </w:rPr>
            </w:pPr>
          </w:p>
        </w:tc>
        <w:tc>
          <w:tcPr>
            <w:tcW w:w="750" w:type="dxa"/>
            <w:tcBorders>
              <w:top w:val="nil"/>
              <w:left w:val="nil"/>
              <w:bottom w:val="single" w:color="auto" w:sz="4" w:space="0"/>
              <w:right w:val="single" w:color="auto" w:sz="4" w:space="0"/>
            </w:tcBorders>
            <w:noWrap w:val="0"/>
            <w:vAlign w:val="center"/>
          </w:tcPr>
          <w:p w14:paraId="402C018B">
            <w:pPr>
              <w:widowControl/>
              <w:jc w:val="center"/>
              <w:rPr>
                <w:rFonts w:hint="eastAsia" w:ascii="宋体" w:hAnsi="宋体" w:cs="宋体"/>
                <w:color w:val="000000"/>
                <w:kern w:val="0"/>
                <w:sz w:val="24"/>
                <w:szCs w:val="24"/>
              </w:rPr>
            </w:pPr>
          </w:p>
        </w:tc>
        <w:tc>
          <w:tcPr>
            <w:tcW w:w="1920" w:type="dxa"/>
            <w:tcBorders>
              <w:top w:val="nil"/>
              <w:left w:val="nil"/>
              <w:bottom w:val="single" w:color="auto" w:sz="4" w:space="0"/>
              <w:right w:val="single" w:color="auto" w:sz="4" w:space="0"/>
            </w:tcBorders>
            <w:noWrap w:val="0"/>
            <w:vAlign w:val="top"/>
          </w:tcPr>
          <w:p w14:paraId="1CC261EE">
            <w:pPr>
              <w:widowControl/>
              <w:jc w:val="center"/>
              <w:rPr>
                <w:rFonts w:hint="eastAsia" w:ascii="宋体" w:hAnsi="宋体" w:cs="宋体"/>
                <w:color w:val="000000"/>
                <w:kern w:val="0"/>
                <w:sz w:val="24"/>
                <w:szCs w:val="24"/>
              </w:rPr>
            </w:pPr>
          </w:p>
        </w:tc>
      </w:tr>
      <w:tr w14:paraId="3B6F34B0">
        <w:tblPrEx>
          <w:tblCellMar>
            <w:top w:w="0" w:type="dxa"/>
            <w:left w:w="108" w:type="dxa"/>
            <w:bottom w:w="0" w:type="dxa"/>
            <w:right w:w="108" w:type="dxa"/>
          </w:tblCellMar>
        </w:tblPrEx>
        <w:trPr>
          <w:trHeight w:val="487" w:hRule="atLeast"/>
          <w:jc w:val="center"/>
        </w:trPr>
        <w:tc>
          <w:tcPr>
            <w:tcW w:w="784" w:type="dxa"/>
            <w:tcBorders>
              <w:top w:val="nil"/>
              <w:left w:val="single" w:color="auto" w:sz="4" w:space="0"/>
              <w:bottom w:val="single" w:color="auto" w:sz="4" w:space="0"/>
              <w:right w:val="single" w:color="auto" w:sz="4" w:space="0"/>
            </w:tcBorders>
            <w:noWrap w:val="0"/>
            <w:vAlign w:val="center"/>
          </w:tcPr>
          <w:p w14:paraId="1F6A1F0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3350" w:type="dxa"/>
            <w:tcBorders>
              <w:top w:val="nil"/>
              <w:left w:val="nil"/>
              <w:bottom w:val="single" w:color="auto" w:sz="4" w:space="0"/>
              <w:right w:val="single" w:color="auto" w:sz="4" w:space="0"/>
            </w:tcBorders>
            <w:noWrap w:val="0"/>
            <w:vAlign w:val="center"/>
          </w:tcPr>
          <w:p w14:paraId="6E14C82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乙级防火窗</w:t>
            </w:r>
          </w:p>
        </w:tc>
        <w:tc>
          <w:tcPr>
            <w:tcW w:w="991" w:type="dxa"/>
            <w:tcBorders>
              <w:top w:val="nil"/>
              <w:left w:val="nil"/>
              <w:bottom w:val="single" w:color="auto" w:sz="4" w:space="0"/>
              <w:right w:val="single" w:color="auto" w:sz="4" w:space="0"/>
            </w:tcBorders>
            <w:noWrap w:val="0"/>
            <w:vAlign w:val="center"/>
          </w:tcPr>
          <w:p w14:paraId="6BE116F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25</w:t>
            </w:r>
          </w:p>
        </w:tc>
        <w:tc>
          <w:tcPr>
            <w:tcW w:w="993" w:type="dxa"/>
            <w:tcBorders>
              <w:top w:val="nil"/>
              <w:left w:val="nil"/>
              <w:bottom w:val="single" w:color="auto" w:sz="4" w:space="0"/>
              <w:right w:val="single" w:color="auto" w:sz="4" w:space="0"/>
            </w:tcBorders>
            <w:noWrap w:val="0"/>
            <w:vAlign w:val="center"/>
          </w:tcPr>
          <w:p w14:paraId="40922C0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扇</w:t>
            </w:r>
          </w:p>
        </w:tc>
        <w:tc>
          <w:tcPr>
            <w:tcW w:w="857" w:type="dxa"/>
            <w:tcBorders>
              <w:top w:val="nil"/>
              <w:left w:val="nil"/>
              <w:bottom w:val="single" w:color="auto" w:sz="4" w:space="0"/>
              <w:right w:val="single" w:color="auto" w:sz="4" w:space="0"/>
            </w:tcBorders>
            <w:noWrap w:val="0"/>
            <w:vAlign w:val="center"/>
          </w:tcPr>
          <w:p w14:paraId="5104DAB7">
            <w:pPr>
              <w:widowControl/>
              <w:jc w:val="center"/>
              <w:rPr>
                <w:rFonts w:hint="eastAsia" w:ascii="宋体" w:hAnsi="宋体" w:cs="宋体"/>
                <w:color w:val="000000"/>
                <w:kern w:val="0"/>
                <w:sz w:val="24"/>
                <w:szCs w:val="24"/>
              </w:rPr>
            </w:pPr>
          </w:p>
        </w:tc>
        <w:tc>
          <w:tcPr>
            <w:tcW w:w="750" w:type="dxa"/>
            <w:tcBorders>
              <w:top w:val="nil"/>
              <w:left w:val="nil"/>
              <w:bottom w:val="single" w:color="auto" w:sz="4" w:space="0"/>
              <w:right w:val="single" w:color="auto" w:sz="4" w:space="0"/>
            </w:tcBorders>
            <w:noWrap w:val="0"/>
            <w:vAlign w:val="center"/>
          </w:tcPr>
          <w:p w14:paraId="12911C4D">
            <w:pPr>
              <w:widowControl/>
              <w:jc w:val="center"/>
              <w:rPr>
                <w:rFonts w:hint="eastAsia" w:ascii="宋体" w:hAnsi="宋体" w:cs="宋体"/>
                <w:color w:val="000000"/>
                <w:kern w:val="0"/>
                <w:sz w:val="24"/>
                <w:szCs w:val="24"/>
              </w:rPr>
            </w:pPr>
          </w:p>
        </w:tc>
        <w:tc>
          <w:tcPr>
            <w:tcW w:w="1920" w:type="dxa"/>
            <w:tcBorders>
              <w:top w:val="nil"/>
              <w:left w:val="nil"/>
              <w:bottom w:val="single" w:color="auto" w:sz="4" w:space="0"/>
              <w:right w:val="single" w:color="auto" w:sz="4" w:space="0"/>
            </w:tcBorders>
            <w:noWrap w:val="0"/>
            <w:vAlign w:val="center"/>
          </w:tcPr>
          <w:p w14:paraId="400B5BC9">
            <w:pPr>
              <w:widowControl/>
              <w:jc w:val="center"/>
              <w:rPr>
                <w:rFonts w:hint="eastAsia" w:ascii="宋体" w:hAnsi="宋体" w:cs="宋体"/>
                <w:bCs/>
                <w:color w:val="000000"/>
                <w:kern w:val="0"/>
                <w:sz w:val="24"/>
                <w:szCs w:val="24"/>
              </w:rPr>
            </w:pPr>
            <w:r>
              <w:rPr>
                <w:rFonts w:hint="eastAsia" w:cs="宋体"/>
                <w:bCs/>
                <w:sz w:val="24"/>
                <w:szCs w:val="24"/>
              </w:rPr>
              <w:t>防火玻璃要求不发黄不变色</w:t>
            </w:r>
          </w:p>
        </w:tc>
      </w:tr>
      <w:tr w14:paraId="2E469277">
        <w:tblPrEx>
          <w:tblCellMar>
            <w:top w:w="0" w:type="dxa"/>
            <w:left w:w="108" w:type="dxa"/>
            <w:bottom w:w="0" w:type="dxa"/>
            <w:right w:w="108" w:type="dxa"/>
          </w:tblCellMar>
        </w:tblPrEx>
        <w:trPr>
          <w:trHeight w:val="502" w:hRule="atLeast"/>
          <w:jc w:val="center"/>
        </w:trPr>
        <w:tc>
          <w:tcPr>
            <w:tcW w:w="784" w:type="dxa"/>
            <w:tcBorders>
              <w:top w:val="nil"/>
              <w:left w:val="single" w:color="auto" w:sz="4" w:space="0"/>
              <w:bottom w:val="single" w:color="auto" w:sz="4" w:space="0"/>
              <w:right w:val="single" w:color="auto" w:sz="4" w:space="0"/>
            </w:tcBorders>
            <w:noWrap w:val="0"/>
            <w:vAlign w:val="center"/>
          </w:tcPr>
          <w:p w14:paraId="51F3024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3350" w:type="dxa"/>
            <w:tcBorders>
              <w:top w:val="nil"/>
              <w:left w:val="nil"/>
              <w:bottom w:val="single" w:color="auto" w:sz="4" w:space="0"/>
              <w:right w:val="single" w:color="auto" w:sz="4" w:space="0"/>
            </w:tcBorders>
            <w:noWrap w:val="0"/>
            <w:vAlign w:val="center"/>
          </w:tcPr>
          <w:p w14:paraId="56F9C5D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消防专线电话</w:t>
            </w:r>
          </w:p>
        </w:tc>
        <w:tc>
          <w:tcPr>
            <w:tcW w:w="991" w:type="dxa"/>
            <w:tcBorders>
              <w:top w:val="nil"/>
              <w:left w:val="nil"/>
              <w:bottom w:val="single" w:color="auto" w:sz="4" w:space="0"/>
              <w:right w:val="single" w:color="auto" w:sz="4" w:space="0"/>
            </w:tcBorders>
            <w:noWrap w:val="0"/>
            <w:vAlign w:val="center"/>
          </w:tcPr>
          <w:p w14:paraId="03E3140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993" w:type="dxa"/>
            <w:tcBorders>
              <w:top w:val="nil"/>
              <w:left w:val="nil"/>
              <w:bottom w:val="single" w:color="auto" w:sz="4" w:space="0"/>
              <w:right w:val="single" w:color="auto" w:sz="4" w:space="0"/>
            </w:tcBorders>
            <w:noWrap w:val="0"/>
            <w:vAlign w:val="center"/>
          </w:tcPr>
          <w:p w14:paraId="090CAE3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只</w:t>
            </w:r>
          </w:p>
        </w:tc>
        <w:tc>
          <w:tcPr>
            <w:tcW w:w="857" w:type="dxa"/>
            <w:tcBorders>
              <w:top w:val="nil"/>
              <w:left w:val="nil"/>
              <w:bottom w:val="single" w:color="auto" w:sz="4" w:space="0"/>
              <w:right w:val="single" w:color="auto" w:sz="4" w:space="0"/>
            </w:tcBorders>
            <w:noWrap w:val="0"/>
            <w:vAlign w:val="center"/>
          </w:tcPr>
          <w:p w14:paraId="384BD0A2">
            <w:pPr>
              <w:widowControl/>
              <w:jc w:val="center"/>
              <w:rPr>
                <w:rFonts w:hint="eastAsia" w:ascii="宋体" w:hAnsi="宋体" w:cs="宋体"/>
                <w:color w:val="000000"/>
                <w:kern w:val="0"/>
                <w:sz w:val="24"/>
                <w:szCs w:val="24"/>
              </w:rPr>
            </w:pPr>
          </w:p>
        </w:tc>
        <w:tc>
          <w:tcPr>
            <w:tcW w:w="750" w:type="dxa"/>
            <w:tcBorders>
              <w:top w:val="nil"/>
              <w:left w:val="nil"/>
              <w:bottom w:val="single" w:color="auto" w:sz="4" w:space="0"/>
              <w:right w:val="single" w:color="auto" w:sz="4" w:space="0"/>
            </w:tcBorders>
            <w:noWrap w:val="0"/>
            <w:vAlign w:val="center"/>
          </w:tcPr>
          <w:p w14:paraId="6510F185">
            <w:pPr>
              <w:widowControl/>
              <w:jc w:val="center"/>
              <w:rPr>
                <w:rFonts w:hint="eastAsia" w:ascii="宋体" w:hAnsi="宋体" w:cs="宋体"/>
                <w:color w:val="000000"/>
                <w:kern w:val="0"/>
                <w:sz w:val="24"/>
                <w:szCs w:val="24"/>
              </w:rPr>
            </w:pPr>
          </w:p>
        </w:tc>
        <w:tc>
          <w:tcPr>
            <w:tcW w:w="1920" w:type="dxa"/>
            <w:tcBorders>
              <w:top w:val="nil"/>
              <w:left w:val="nil"/>
              <w:bottom w:val="single" w:color="auto" w:sz="4" w:space="0"/>
              <w:right w:val="single" w:color="auto" w:sz="4" w:space="0"/>
            </w:tcBorders>
            <w:noWrap w:val="0"/>
            <w:vAlign w:val="center"/>
          </w:tcPr>
          <w:p w14:paraId="257FA0A8">
            <w:pPr>
              <w:widowControl/>
              <w:jc w:val="center"/>
              <w:rPr>
                <w:rFonts w:hint="eastAsia" w:ascii="宋体" w:hAnsi="宋体" w:cs="宋体"/>
                <w:color w:val="000000"/>
                <w:kern w:val="0"/>
                <w:sz w:val="24"/>
                <w:szCs w:val="24"/>
              </w:rPr>
            </w:pPr>
          </w:p>
        </w:tc>
      </w:tr>
      <w:tr w14:paraId="7EC9C2CC">
        <w:tblPrEx>
          <w:tblCellMar>
            <w:top w:w="0" w:type="dxa"/>
            <w:left w:w="108" w:type="dxa"/>
            <w:bottom w:w="0" w:type="dxa"/>
            <w:right w:w="108" w:type="dxa"/>
          </w:tblCellMar>
        </w:tblPrEx>
        <w:trPr>
          <w:trHeight w:val="487" w:hRule="atLeast"/>
          <w:jc w:val="center"/>
        </w:trPr>
        <w:tc>
          <w:tcPr>
            <w:tcW w:w="784" w:type="dxa"/>
            <w:tcBorders>
              <w:top w:val="nil"/>
              <w:left w:val="single" w:color="auto" w:sz="4" w:space="0"/>
              <w:bottom w:val="single" w:color="auto" w:sz="4" w:space="0"/>
              <w:right w:val="single" w:color="auto" w:sz="4" w:space="0"/>
            </w:tcBorders>
            <w:noWrap w:val="0"/>
            <w:vAlign w:val="center"/>
          </w:tcPr>
          <w:p w14:paraId="10D1F21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3350" w:type="dxa"/>
            <w:tcBorders>
              <w:top w:val="nil"/>
              <w:left w:val="nil"/>
              <w:bottom w:val="single" w:color="auto" w:sz="4" w:space="0"/>
              <w:right w:val="single" w:color="auto" w:sz="4" w:space="0"/>
            </w:tcBorders>
            <w:noWrap w:val="0"/>
            <w:vAlign w:val="center"/>
          </w:tcPr>
          <w:p w14:paraId="3F41958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消防专线线路到控制室</w:t>
            </w:r>
          </w:p>
        </w:tc>
        <w:tc>
          <w:tcPr>
            <w:tcW w:w="991" w:type="dxa"/>
            <w:tcBorders>
              <w:top w:val="nil"/>
              <w:left w:val="nil"/>
              <w:bottom w:val="single" w:color="auto" w:sz="4" w:space="0"/>
              <w:right w:val="single" w:color="auto" w:sz="4" w:space="0"/>
            </w:tcBorders>
            <w:noWrap w:val="0"/>
            <w:vAlign w:val="center"/>
          </w:tcPr>
          <w:p w14:paraId="73F96C5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993" w:type="dxa"/>
            <w:tcBorders>
              <w:top w:val="nil"/>
              <w:left w:val="nil"/>
              <w:bottom w:val="single" w:color="auto" w:sz="4" w:space="0"/>
              <w:right w:val="single" w:color="auto" w:sz="4" w:space="0"/>
            </w:tcBorders>
            <w:noWrap w:val="0"/>
            <w:vAlign w:val="center"/>
          </w:tcPr>
          <w:p w14:paraId="5E9A704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857" w:type="dxa"/>
            <w:tcBorders>
              <w:top w:val="nil"/>
              <w:left w:val="nil"/>
              <w:bottom w:val="single" w:color="auto" w:sz="4" w:space="0"/>
              <w:right w:val="single" w:color="auto" w:sz="4" w:space="0"/>
            </w:tcBorders>
            <w:noWrap w:val="0"/>
            <w:vAlign w:val="center"/>
          </w:tcPr>
          <w:p w14:paraId="3EB27B53">
            <w:pPr>
              <w:widowControl/>
              <w:jc w:val="center"/>
              <w:rPr>
                <w:rFonts w:hint="eastAsia" w:ascii="宋体" w:hAnsi="宋体" w:cs="宋体"/>
                <w:color w:val="000000"/>
                <w:kern w:val="0"/>
                <w:sz w:val="24"/>
                <w:szCs w:val="24"/>
              </w:rPr>
            </w:pPr>
          </w:p>
        </w:tc>
        <w:tc>
          <w:tcPr>
            <w:tcW w:w="750" w:type="dxa"/>
            <w:tcBorders>
              <w:top w:val="nil"/>
              <w:left w:val="nil"/>
              <w:bottom w:val="single" w:color="auto" w:sz="4" w:space="0"/>
              <w:right w:val="single" w:color="auto" w:sz="4" w:space="0"/>
            </w:tcBorders>
            <w:noWrap w:val="0"/>
            <w:vAlign w:val="center"/>
          </w:tcPr>
          <w:p w14:paraId="694A0C13">
            <w:pPr>
              <w:widowControl/>
              <w:jc w:val="center"/>
              <w:rPr>
                <w:rFonts w:hint="eastAsia" w:ascii="宋体" w:hAnsi="宋体" w:cs="宋体"/>
                <w:color w:val="000000"/>
                <w:kern w:val="0"/>
                <w:sz w:val="24"/>
                <w:szCs w:val="24"/>
              </w:rPr>
            </w:pPr>
          </w:p>
        </w:tc>
        <w:tc>
          <w:tcPr>
            <w:tcW w:w="1920" w:type="dxa"/>
            <w:tcBorders>
              <w:top w:val="nil"/>
              <w:left w:val="nil"/>
              <w:bottom w:val="single" w:color="auto" w:sz="4" w:space="0"/>
              <w:right w:val="single" w:color="auto" w:sz="4" w:space="0"/>
            </w:tcBorders>
            <w:noWrap w:val="0"/>
            <w:vAlign w:val="center"/>
          </w:tcPr>
          <w:p w14:paraId="705E1C45">
            <w:pPr>
              <w:widowControl/>
              <w:jc w:val="center"/>
              <w:rPr>
                <w:rFonts w:hint="eastAsia" w:ascii="宋体" w:hAnsi="宋体" w:cs="宋体"/>
                <w:color w:val="000000"/>
                <w:kern w:val="0"/>
                <w:sz w:val="24"/>
                <w:szCs w:val="24"/>
              </w:rPr>
            </w:pPr>
          </w:p>
        </w:tc>
      </w:tr>
      <w:tr w14:paraId="6149049B">
        <w:tblPrEx>
          <w:tblCellMar>
            <w:top w:w="0" w:type="dxa"/>
            <w:left w:w="108" w:type="dxa"/>
            <w:bottom w:w="0" w:type="dxa"/>
            <w:right w:w="108" w:type="dxa"/>
          </w:tblCellMar>
        </w:tblPrEx>
        <w:trPr>
          <w:trHeight w:val="487" w:hRule="atLeast"/>
          <w:jc w:val="center"/>
        </w:trPr>
        <w:tc>
          <w:tcPr>
            <w:tcW w:w="784" w:type="dxa"/>
            <w:tcBorders>
              <w:top w:val="nil"/>
              <w:left w:val="single" w:color="auto" w:sz="4" w:space="0"/>
              <w:bottom w:val="single" w:color="auto" w:sz="4" w:space="0"/>
              <w:right w:val="single" w:color="auto" w:sz="4" w:space="0"/>
            </w:tcBorders>
            <w:noWrap w:val="0"/>
            <w:vAlign w:val="center"/>
          </w:tcPr>
          <w:p w14:paraId="52ECFD9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3350" w:type="dxa"/>
            <w:tcBorders>
              <w:top w:val="nil"/>
              <w:left w:val="nil"/>
              <w:bottom w:val="single" w:color="auto" w:sz="4" w:space="0"/>
              <w:right w:val="single" w:color="auto" w:sz="4" w:space="0"/>
            </w:tcBorders>
            <w:noWrap w:val="0"/>
            <w:vAlign w:val="center"/>
          </w:tcPr>
          <w:p w14:paraId="4417608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消防广播</w:t>
            </w:r>
          </w:p>
        </w:tc>
        <w:tc>
          <w:tcPr>
            <w:tcW w:w="991" w:type="dxa"/>
            <w:tcBorders>
              <w:top w:val="nil"/>
              <w:left w:val="nil"/>
              <w:bottom w:val="single" w:color="auto" w:sz="4" w:space="0"/>
              <w:right w:val="single" w:color="auto" w:sz="4" w:space="0"/>
            </w:tcBorders>
            <w:noWrap w:val="0"/>
            <w:vAlign w:val="center"/>
          </w:tcPr>
          <w:p w14:paraId="597418A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993" w:type="dxa"/>
            <w:tcBorders>
              <w:top w:val="nil"/>
              <w:left w:val="nil"/>
              <w:bottom w:val="single" w:color="auto" w:sz="4" w:space="0"/>
              <w:right w:val="single" w:color="auto" w:sz="4" w:space="0"/>
            </w:tcBorders>
            <w:noWrap w:val="0"/>
            <w:vAlign w:val="center"/>
          </w:tcPr>
          <w:p w14:paraId="449A4F4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只</w:t>
            </w:r>
          </w:p>
        </w:tc>
        <w:tc>
          <w:tcPr>
            <w:tcW w:w="857" w:type="dxa"/>
            <w:tcBorders>
              <w:top w:val="nil"/>
              <w:left w:val="nil"/>
              <w:bottom w:val="single" w:color="auto" w:sz="4" w:space="0"/>
              <w:right w:val="single" w:color="auto" w:sz="4" w:space="0"/>
            </w:tcBorders>
            <w:noWrap w:val="0"/>
            <w:vAlign w:val="center"/>
          </w:tcPr>
          <w:p w14:paraId="5B107A77">
            <w:pPr>
              <w:widowControl/>
              <w:jc w:val="center"/>
              <w:rPr>
                <w:rFonts w:hint="eastAsia" w:ascii="宋体" w:hAnsi="宋体" w:cs="宋体"/>
                <w:color w:val="000000"/>
                <w:kern w:val="0"/>
                <w:sz w:val="24"/>
                <w:szCs w:val="24"/>
              </w:rPr>
            </w:pPr>
          </w:p>
        </w:tc>
        <w:tc>
          <w:tcPr>
            <w:tcW w:w="750" w:type="dxa"/>
            <w:tcBorders>
              <w:top w:val="nil"/>
              <w:left w:val="nil"/>
              <w:bottom w:val="single" w:color="auto" w:sz="4" w:space="0"/>
              <w:right w:val="single" w:color="auto" w:sz="4" w:space="0"/>
            </w:tcBorders>
            <w:noWrap w:val="0"/>
            <w:vAlign w:val="center"/>
          </w:tcPr>
          <w:p w14:paraId="2B6FF712">
            <w:pPr>
              <w:widowControl/>
              <w:jc w:val="center"/>
              <w:rPr>
                <w:rFonts w:hint="eastAsia" w:ascii="宋体" w:hAnsi="宋体" w:cs="宋体"/>
                <w:color w:val="000000"/>
                <w:kern w:val="0"/>
                <w:sz w:val="24"/>
                <w:szCs w:val="24"/>
              </w:rPr>
            </w:pPr>
          </w:p>
        </w:tc>
        <w:tc>
          <w:tcPr>
            <w:tcW w:w="1920" w:type="dxa"/>
            <w:tcBorders>
              <w:top w:val="nil"/>
              <w:left w:val="nil"/>
              <w:bottom w:val="single" w:color="auto" w:sz="4" w:space="0"/>
              <w:right w:val="single" w:color="auto" w:sz="4" w:space="0"/>
            </w:tcBorders>
            <w:noWrap w:val="0"/>
            <w:vAlign w:val="center"/>
          </w:tcPr>
          <w:p w14:paraId="2EE6AA29">
            <w:pPr>
              <w:widowControl/>
              <w:jc w:val="center"/>
              <w:rPr>
                <w:rFonts w:hint="eastAsia" w:ascii="宋体" w:hAnsi="宋体" w:cs="宋体"/>
                <w:color w:val="000000"/>
                <w:kern w:val="0"/>
                <w:sz w:val="24"/>
                <w:szCs w:val="24"/>
              </w:rPr>
            </w:pPr>
          </w:p>
        </w:tc>
      </w:tr>
      <w:tr w14:paraId="1B9DEC8D">
        <w:tblPrEx>
          <w:tblCellMar>
            <w:top w:w="0" w:type="dxa"/>
            <w:left w:w="108" w:type="dxa"/>
            <w:bottom w:w="0" w:type="dxa"/>
            <w:right w:w="108" w:type="dxa"/>
          </w:tblCellMar>
        </w:tblPrEx>
        <w:trPr>
          <w:trHeight w:val="442" w:hRule="atLeast"/>
          <w:jc w:val="center"/>
        </w:trPr>
        <w:tc>
          <w:tcPr>
            <w:tcW w:w="784" w:type="dxa"/>
            <w:tcBorders>
              <w:top w:val="nil"/>
              <w:left w:val="single" w:color="auto" w:sz="4" w:space="0"/>
              <w:bottom w:val="single" w:color="auto" w:sz="4" w:space="0"/>
              <w:right w:val="single" w:color="auto" w:sz="4" w:space="0"/>
            </w:tcBorders>
            <w:noWrap w:val="0"/>
            <w:vAlign w:val="center"/>
          </w:tcPr>
          <w:p w14:paraId="0623D47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3350" w:type="dxa"/>
            <w:tcBorders>
              <w:top w:val="nil"/>
              <w:left w:val="nil"/>
              <w:bottom w:val="single" w:color="auto" w:sz="4" w:space="0"/>
              <w:right w:val="single" w:color="auto" w:sz="4" w:space="0"/>
            </w:tcBorders>
            <w:noWrap w:val="0"/>
            <w:vAlign w:val="center"/>
          </w:tcPr>
          <w:p w14:paraId="46F415A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消防广播电缆线</w:t>
            </w:r>
          </w:p>
        </w:tc>
        <w:tc>
          <w:tcPr>
            <w:tcW w:w="991" w:type="dxa"/>
            <w:tcBorders>
              <w:top w:val="nil"/>
              <w:left w:val="nil"/>
              <w:bottom w:val="single" w:color="auto" w:sz="4" w:space="0"/>
              <w:right w:val="single" w:color="auto" w:sz="4" w:space="0"/>
            </w:tcBorders>
            <w:noWrap w:val="0"/>
            <w:vAlign w:val="center"/>
          </w:tcPr>
          <w:p w14:paraId="6F2E4A6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993" w:type="dxa"/>
            <w:tcBorders>
              <w:top w:val="nil"/>
              <w:left w:val="nil"/>
              <w:bottom w:val="single" w:color="auto" w:sz="4" w:space="0"/>
              <w:right w:val="single" w:color="auto" w:sz="4" w:space="0"/>
            </w:tcBorders>
            <w:noWrap w:val="0"/>
            <w:vAlign w:val="center"/>
          </w:tcPr>
          <w:p w14:paraId="4B6638B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857" w:type="dxa"/>
            <w:tcBorders>
              <w:top w:val="nil"/>
              <w:left w:val="nil"/>
              <w:bottom w:val="single" w:color="auto" w:sz="4" w:space="0"/>
              <w:right w:val="single" w:color="auto" w:sz="4" w:space="0"/>
            </w:tcBorders>
            <w:noWrap w:val="0"/>
            <w:vAlign w:val="center"/>
          </w:tcPr>
          <w:p w14:paraId="67EB5753">
            <w:pPr>
              <w:widowControl/>
              <w:jc w:val="center"/>
              <w:rPr>
                <w:rFonts w:hint="eastAsia" w:ascii="宋体" w:hAnsi="宋体" w:cs="宋体"/>
                <w:color w:val="000000"/>
                <w:kern w:val="0"/>
                <w:sz w:val="24"/>
                <w:szCs w:val="24"/>
              </w:rPr>
            </w:pPr>
          </w:p>
        </w:tc>
        <w:tc>
          <w:tcPr>
            <w:tcW w:w="750" w:type="dxa"/>
            <w:tcBorders>
              <w:top w:val="nil"/>
              <w:left w:val="nil"/>
              <w:bottom w:val="single" w:color="auto" w:sz="4" w:space="0"/>
              <w:right w:val="single" w:color="auto" w:sz="4" w:space="0"/>
            </w:tcBorders>
            <w:noWrap w:val="0"/>
            <w:vAlign w:val="center"/>
          </w:tcPr>
          <w:p w14:paraId="76087BBB">
            <w:pPr>
              <w:widowControl/>
              <w:jc w:val="center"/>
              <w:rPr>
                <w:rFonts w:hint="eastAsia" w:ascii="宋体" w:hAnsi="宋体" w:cs="宋体"/>
                <w:color w:val="000000"/>
                <w:kern w:val="0"/>
                <w:sz w:val="24"/>
                <w:szCs w:val="24"/>
              </w:rPr>
            </w:pPr>
          </w:p>
        </w:tc>
        <w:tc>
          <w:tcPr>
            <w:tcW w:w="1920" w:type="dxa"/>
            <w:tcBorders>
              <w:top w:val="nil"/>
              <w:left w:val="nil"/>
              <w:bottom w:val="single" w:color="auto" w:sz="4" w:space="0"/>
              <w:right w:val="single" w:color="auto" w:sz="4" w:space="0"/>
            </w:tcBorders>
            <w:noWrap w:val="0"/>
            <w:vAlign w:val="center"/>
          </w:tcPr>
          <w:p w14:paraId="306BAED7">
            <w:pPr>
              <w:widowControl/>
              <w:jc w:val="center"/>
              <w:rPr>
                <w:rFonts w:hint="eastAsia" w:ascii="宋体" w:hAnsi="宋体" w:cs="宋体"/>
                <w:color w:val="000000"/>
                <w:kern w:val="0"/>
                <w:sz w:val="24"/>
                <w:szCs w:val="24"/>
              </w:rPr>
            </w:pPr>
          </w:p>
        </w:tc>
      </w:tr>
      <w:tr w14:paraId="1AF8DCAF">
        <w:tblPrEx>
          <w:tblCellMar>
            <w:top w:w="0" w:type="dxa"/>
            <w:left w:w="108" w:type="dxa"/>
            <w:bottom w:w="0" w:type="dxa"/>
            <w:right w:w="108" w:type="dxa"/>
          </w:tblCellMar>
        </w:tblPrEx>
        <w:trPr>
          <w:trHeight w:val="532" w:hRule="atLeast"/>
          <w:jc w:val="center"/>
        </w:trPr>
        <w:tc>
          <w:tcPr>
            <w:tcW w:w="784" w:type="dxa"/>
            <w:tcBorders>
              <w:top w:val="nil"/>
              <w:left w:val="single" w:color="auto" w:sz="4" w:space="0"/>
              <w:bottom w:val="single" w:color="auto" w:sz="4" w:space="0"/>
              <w:right w:val="single" w:color="auto" w:sz="4" w:space="0"/>
            </w:tcBorders>
            <w:noWrap w:val="0"/>
            <w:vAlign w:val="center"/>
          </w:tcPr>
          <w:p w14:paraId="2EF0E28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3350" w:type="dxa"/>
            <w:tcBorders>
              <w:top w:val="nil"/>
              <w:left w:val="nil"/>
              <w:bottom w:val="single" w:color="auto" w:sz="4" w:space="0"/>
              <w:right w:val="single" w:color="auto" w:sz="4" w:space="0"/>
            </w:tcBorders>
            <w:noWrap w:val="0"/>
            <w:vAlign w:val="center"/>
          </w:tcPr>
          <w:p w14:paraId="3405825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消防电源、普通电源</w:t>
            </w:r>
          </w:p>
        </w:tc>
        <w:tc>
          <w:tcPr>
            <w:tcW w:w="991" w:type="dxa"/>
            <w:tcBorders>
              <w:top w:val="nil"/>
              <w:left w:val="nil"/>
              <w:bottom w:val="single" w:color="auto" w:sz="4" w:space="0"/>
              <w:right w:val="single" w:color="auto" w:sz="4" w:space="0"/>
            </w:tcBorders>
            <w:noWrap w:val="0"/>
            <w:vAlign w:val="center"/>
          </w:tcPr>
          <w:p w14:paraId="09D6EB3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993" w:type="dxa"/>
            <w:tcBorders>
              <w:top w:val="nil"/>
              <w:left w:val="nil"/>
              <w:bottom w:val="single" w:color="auto" w:sz="4" w:space="0"/>
              <w:right w:val="single" w:color="auto" w:sz="4" w:space="0"/>
            </w:tcBorders>
            <w:noWrap w:val="0"/>
            <w:vAlign w:val="center"/>
          </w:tcPr>
          <w:p w14:paraId="34BD332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857" w:type="dxa"/>
            <w:tcBorders>
              <w:top w:val="nil"/>
              <w:left w:val="nil"/>
              <w:bottom w:val="single" w:color="auto" w:sz="4" w:space="0"/>
              <w:right w:val="single" w:color="auto" w:sz="4" w:space="0"/>
            </w:tcBorders>
            <w:noWrap w:val="0"/>
            <w:vAlign w:val="center"/>
          </w:tcPr>
          <w:p w14:paraId="5D8078E1">
            <w:pPr>
              <w:widowControl/>
              <w:jc w:val="center"/>
              <w:rPr>
                <w:rFonts w:hint="eastAsia" w:ascii="宋体" w:hAnsi="宋体" w:cs="宋体"/>
                <w:color w:val="000000"/>
                <w:kern w:val="0"/>
                <w:sz w:val="24"/>
                <w:szCs w:val="24"/>
              </w:rPr>
            </w:pPr>
          </w:p>
        </w:tc>
        <w:tc>
          <w:tcPr>
            <w:tcW w:w="750" w:type="dxa"/>
            <w:tcBorders>
              <w:top w:val="nil"/>
              <w:left w:val="nil"/>
              <w:bottom w:val="single" w:color="auto" w:sz="4" w:space="0"/>
              <w:right w:val="single" w:color="auto" w:sz="4" w:space="0"/>
            </w:tcBorders>
            <w:noWrap w:val="0"/>
            <w:vAlign w:val="center"/>
          </w:tcPr>
          <w:p w14:paraId="596A5611">
            <w:pPr>
              <w:widowControl/>
              <w:jc w:val="center"/>
              <w:rPr>
                <w:rFonts w:hint="eastAsia" w:ascii="宋体" w:hAnsi="宋体" w:cs="宋体"/>
                <w:color w:val="000000"/>
                <w:kern w:val="0"/>
                <w:sz w:val="24"/>
                <w:szCs w:val="24"/>
              </w:rPr>
            </w:pPr>
          </w:p>
        </w:tc>
        <w:tc>
          <w:tcPr>
            <w:tcW w:w="1920" w:type="dxa"/>
            <w:tcBorders>
              <w:top w:val="nil"/>
              <w:left w:val="nil"/>
              <w:bottom w:val="single" w:color="auto" w:sz="4" w:space="0"/>
              <w:right w:val="single" w:color="auto" w:sz="4" w:space="0"/>
            </w:tcBorders>
            <w:noWrap w:val="0"/>
            <w:vAlign w:val="center"/>
          </w:tcPr>
          <w:p w14:paraId="07AE03A9">
            <w:pPr>
              <w:widowControl/>
              <w:jc w:val="center"/>
              <w:rPr>
                <w:rFonts w:hint="eastAsia" w:ascii="宋体" w:hAnsi="宋体" w:cs="宋体"/>
                <w:color w:val="000000"/>
                <w:kern w:val="0"/>
                <w:sz w:val="24"/>
                <w:szCs w:val="24"/>
              </w:rPr>
            </w:pPr>
          </w:p>
        </w:tc>
      </w:tr>
      <w:tr w14:paraId="681FAF02">
        <w:tblPrEx>
          <w:tblCellMar>
            <w:top w:w="0" w:type="dxa"/>
            <w:left w:w="108" w:type="dxa"/>
            <w:bottom w:w="0" w:type="dxa"/>
            <w:right w:w="108" w:type="dxa"/>
          </w:tblCellMar>
        </w:tblPrEx>
        <w:trPr>
          <w:trHeight w:val="532" w:hRule="atLeast"/>
          <w:jc w:val="center"/>
        </w:trPr>
        <w:tc>
          <w:tcPr>
            <w:tcW w:w="784" w:type="dxa"/>
            <w:tcBorders>
              <w:top w:val="nil"/>
              <w:left w:val="single" w:color="auto" w:sz="4" w:space="0"/>
              <w:bottom w:val="single" w:color="auto" w:sz="4" w:space="0"/>
              <w:right w:val="single" w:color="auto" w:sz="4" w:space="0"/>
            </w:tcBorders>
            <w:noWrap w:val="0"/>
            <w:vAlign w:val="center"/>
          </w:tcPr>
          <w:p w14:paraId="21791D39">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8</w:t>
            </w:r>
          </w:p>
        </w:tc>
        <w:tc>
          <w:tcPr>
            <w:tcW w:w="3350" w:type="dxa"/>
            <w:tcBorders>
              <w:top w:val="nil"/>
              <w:left w:val="nil"/>
              <w:bottom w:val="single" w:color="auto" w:sz="4" w:space="0"/>
              <w:right w:val="single" w:color="auto" w:sz="4" w:space="0"/>
            </w:tcBorders>
            <w:noWrap w:val="0"/>
            <w:vAlign w:val="center"/>
          </w:tcPr>
          <w:p w14:paraId="567FC9E5">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窗户玻璃更换安装（钢化玻璃）</w:t>
            </w:r>
          </w:p>
        </w:tc>
        <w:tc>
          <w:tcPr>
            <w:tcW w:w="991" w:type="dxa"/>
            <w:tcBorders>
              <w:top w:val="nil"/>
              <w:left w:val="nil"/>
              <w:bottom w:val="single" w:color="auto" w:sz="4" w:space="0"/>
              <w:right w:val="single" w:color="auto" w:sz="4" w:space="0"/>
            </w:tcBorders>
            <w:noWrap w:val="0"/>
            <w:vAlign w:val="center"/>
          </w:tcPr>
          <w:p w14:paraId="0B62501C">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80</w:t>
            </w:r>
          </w:p>
        </w:tc>
        <w:tc>
          <w:tcPr>
            <w:tcW w:w="993" w:type="dxa"/>
            <w:tcBorders>
              <w:top w:val="nil"/>
              <w:left w:val="nil"/>
              <w:bottom w:val="single" w:color="auto" w:sz="4" w:space="0"/>
              <w:right w:val="single" w:color="auto" w:sz="4" w:space="0"/>
            </w:tcBorders>
            <w:noWrap w:val="0"/>
            <w:vAlign w:val="center"/>
          </w:tcPr>
          <w:p w14:paraId="46C2E08F">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块</w:t>
            </w:r>
          </w:p>
        </w:tc>
        <w:tc>
          <w:tcPr>
            <w:tcW w:w="857" w:type="dxa"/>
            <w:tcBorders>
              <w:top w:val="nil"/>
              <w:left w:val="nil"/>
              <w:bottom w:val="single" w:color="auto" w:sz="4" w:space="0"/>
              <w:right w:val="single" w:color="auto" w:sz="4" w:space="0"/>
            </w:tcBorders>
            <w:noWrap w:val="0"/>
            <w:vAlign w:val="center"/>
          </w:tcPr>
          <w:p w14:paraId="71B4B594">
            <w:pPr>
              <w:widowControl/>
              <w:jc w:val="center"/>
              <w:rPr>
                <w:rFonts w:hint="eastAsia" w:ascii="宋体" w:hAnsi="宋体" w:cs="宋体"/>
                <w:color w:val="auto"/>
                <w:kern w:val="0"/>
                <w:sz w:val="24"/>
                <w:szCs w:val="24"/>
              </w:rPr>
            </w:pPr>
          </w:p>
        </w:tc>
        <w:tc>
          <w:tcPr>
            <w:tcW w:w="750" w:type="dxa"/>
            <w:tcBorders>
              <w:top w:val="nil"/>
              <w:left w:val="nil"/>
              <w:bottom w:val="single" w:color="auto" w:sz="4" w:space="0"/>
              <w:right w:val="single" w:color="auto" w:sz="4" w:space="0"/>
            </w:tcBorders>
            <w:noWrap w:val="0"/>
            <w:vAlign w:val="center"/>
          </w:tcPr>
          <w:p w14:paraId="6D878240">
            <w:pPr>
              <w:widowControl/>
              <w:jc w:val="center"/>
              <w:rPr>
                <w:rFonts w:hint="eastAsia" w:ascii="宋体" w:hAnsi="宋体" w:cs="宋体"/>
                <w:color w:val="auto"/>
                <w:kern w:val="0"/>
                <w:sz w:val="24"/>
                <w:szCs w:val="24"/>
              </w:rPr>
            </w:pPr>
          </w:p>
        </w:tc>
        <w:tc>
          <w:tcPr>
            <w:tcW w:w="1920" w:type="dxa"/>
            <w:tcBorders>
              <w:top w:val="nil"/>
              <w:left w:val="nil"/>
              <w:bottom w:val="single" w:color="auto" w:sz="4" w:space="0"/>
              <w:right w:val="single" w:color="auto" w:sz="4" w:space="0"/>
            </w:tcBorders>
            <w:noWrap w:val="0"/>
            <w:vAlign w:val="center"/>
          </w:tcPr>
          <w:p w14:paraId="008A4A14">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需现场测量</w:t>
            </w:r>
          </w:p>
        </w:tc>
      </w:tr>
      <w:tr w14:paraId="587056A2">
        <w:tblPrEx>
          <w:tblCellMar>
            <w:top w:w="0" w:type="dxa"/>
            <w:left w:w="108" w:type="dxa"/>
            <w:bottom w:w="0" w:type="dxa"/>
            <w:right w:w="108" w:type="dxa"/>
          </w:tblCellMar>
        </w:tblPrEx>
        <w:trPr>
          <w:trHeight w:val="487" w:hRule="atLeast"/>
          <w:jc w:val="center"/>
        </w:trPr>
        <w:tc>
          <w:tcPr>
            <w:tcW w:w="784" w:type="dxa"/>
            <w:tcBorders>
              <w:top w:val="nil"/>
              <w:left w:val="single" w:color="auto" w:sz="4" w:space="0"/>
              <w:bottom w:val="single" w:color="auto" w:sz="4" w:space="0"/>
              <w:right w:val="single" w:color="auto" w:sz="4" w:space="0"/>
            </w:tcBorders>
            <w:noWrap w:val="0"/>
            <w:vAlign w:val="center"/>
          </w:tcPr>
          <w:p w14:paraId="20FE39C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3350" w:type="dxa"/>
            <w:tcBorders>
              <w:top w:val="nil"/>
              <w:left w:val="nil"/>
              <w:bottom w:val="single" w:color="auto" w:sz="4" w:space="0"/>
              <w:right w:val="single" w:color="auto" w:sz="4" w:space="0"/>
            </w:tcBorders>
            <w:noWrap w:val="0"/>
            <w:vAlign w:val="center"/>
          </w:tcPr>
          <w:p w14:paraId="205ACB4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系统调试</w:t>
            </w:r>
          </w:p>
        </w:tc>
        <w:tc>
          <w:tcPr>
            <w:tcW w:w="991" w:type="dxa"/>
            <w:tcBorders>
              <w:top w:val="nil"/>
              <w:left w:val="nil"/>
              <w:bottom w:val="single" w:color="auto" w:sz="4" w:space="0"/>
              <w:right w:val="single" w:color="auto" w:sz="4" w:space="0"/>
            </w:tcBorders>
            <w:noWrap w:val="0"/>
            <w:vAlign w:val="center"/>
          </w:tcPr>
          <w:p w14:paraId="46C63C2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993" w:type="dxa"/>
            <w:tcBorders>
              <w:top w:val="nil"/>
              <w:left w:val="nil"/>
              <w:bottom w:val="single" w:color="auto" w:sz="4" w:space="0"/>
              <w:right w:val="single" w:color="auto" w:sz="4" w:space="0"/>
            </w:tcBorders>
            <w:noWrap w:val="0"/>
            <w:vAlign w:val="center"/>
          </w:tcPr>
          <w:p w14:paraId="375AB8A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857" w:type="dxa"/>
            <w:tcBorders>
              <w:top w:val="nil"/>
              <w:left w:val="nil"/>
              <w:bottom w:val="single" w:color="auto" w:sz="4" w:space="0"/>
              <w:right w:val="single" w:color="auto" w:sz="4" w:space="0"/>
            </w:tcBorders>
            <w:noWrap w:val="0"/>
            <w:vAlign w:val="center"/>
          </w:tcPr>
          <w:p w14:paraId="0992D273">
            <w:pPr>
              <w:widowControl/>
              <w:jc w:val="center"/>
              <w:rPr>
                <w:rFonts w:hint="eastAsia" w:ascii="宋体" w:hAnsi="宋体" w:cs="宋体"/>
                <w:color w:val="000000"/>
                <w:kern w:val="0"/>
                <w:sz w:val="24"/>
                <w:szCs w:val="24"/>
              </w:rPr>
            </w:pPr>
          </w:p>
        </w:tc>
        <w:tc>
          <w:tcPr>
            <w:tcW w:w="750" w:type="dxa"/>
            <w:tcBorders>
              <w:top w:val="nil"/>
              <w:left w:val="nil"/>
              <w:bottom w:val="single" w:color="auto" w:sz="4" w:space="0"/>
              <w:right w:val="single" w:color="auto" w:sz="4" w:space="0"/>
            </w:tcBorders>
            <w:noWrap w:val="0"/>
            <w:vAlign w:val="center"/>
          </w:tcPr>
          <w:p w14:paraId="4F299CEF">
            <w:pPr>
              <w:widowControl/>
              <w:jc w:val="center"/>
              <w:rPr>
                <w:rFonts w:hint="eastAsia" w:ascii="宋体" w:hAnsi="宋体" w:cs="宋体"/>
                <w:color w:val="000000"/>
                <w:kern w:val="0"/>
                <w:sz w:val="24"/>
                <w:szCs w:val="24"/>
              </w:rPr>
            </w:pPr>
          </w:p>
        </w:tc>
        <w:tc>
          <w:tcPr>
            <w:tcW w:w="1920" w:type="dxa"/>
            <w:tcBorders>
              <w:top w:val="nil"/>
              <w:left w:val="nil"/>
              <w:bottom w:val="single" w:color="auto" w:sz="4" w:space="0"/>
              <w:right w:val="single" w:color="auto" w:sz="4" w:space="0"/>
            </w:tcBorders>
            <w:noWrap w:val="0"/>
            <w:vAlign w:val="top"/>
          </w:tcPr>
          <w:p w14:paraId="46AD98DE">
            <w:pPr>
              <w:widowControl/>
              <w:jc w:val="center"/>
              <w:rPr>
                <w:rFonts w:hint="eastAsia" w:ascii="宋体" w:hAnsi="宋体" w:cs="宋体"/>
                <w:color w:val="000000"/>
                <w:kern w:val="0"/>
                <w:sz w:val="24"/>
                <w:szCs w:val="24"/>
              </w:rPr>
            </w:pPr>
          </w:p>
        </w:tc>
      </w:tr>
      <w:tr w14:paraId="7817A8A2">
        <w:tblPrEx>
          <w:tblCellMar>
            <w:top w:w="0" w:type="dxa"/>
            <w:left w:w="108" w:type="dxa"/>
            <w:bottom w:w="0" w:type="dxa"/>
            <w:right w:w="108" w:type="dxa"/>
          </w:tblCellMar>
        </w:tblPrEx>
        <w:trPr>
          <w:trHeight w:val="622" w:hRule="atLeast"/>
          <w:jc w:val="center"/>
        </w:trPr>
        <w:tc>
          <w:tcPr>
            <w:tcW w:w="784" w:type="dxa"/>
            <w:tcBorders>
              <w:top w:val="nil"/>
              <w:left w:val="single" w:color="auto" w:sz="4" w:space="0"/>
              <w:bottom w:val="single" w:color="auto" w:sz="4" w:space="0"/>
              <w:right w:val="single" w:color="auto" w:sz="4" w:space="0"/>
            </w:tcBorders>
            <w:noWrap w:val="0"/>
            <w:vAlign w:val="center"/>
          </w:tcPr>
          <w:p w14:paraId="2BF4FC7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10</w:t>
            </w:r>
          </w:p>
        </w:tc>
        <w:tc>
          <w:tcPr>
            <w:tcW w:w="3350" w:type="dxa"/>
            <w:tcBorders>
              <w:top w:val="nil"/>
              <w:left w:val="nil"/>
              <w:bottom w:val="single" w:color="auto" w:sz="4" w:space="0"/>
              <w:right w:val="single" w:color="auto" w:sz="4" w:space="0"/>
            </w:tcBorders>
            <w:noWrap w:val="0"/>
            <w:vAlign w:val="center"/>
          </w:tcPr>
          <w:p w14:paraId="564A9F3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现场机械、人工费、保险费</w:t>
            </w:r>
          </w:p>
        </w:tc>
        <w:tc>
          <w:tcPr>
            <w:tcW w:w="991" w:type="dxa"/>
            <w:tcBorders>
              <w:top w:val="nil"/>
              <w:left w:val="nil"/>
              <w:bottom w:val="single" w:color="auto" w:sz="4" w:space="0"/>
              <w:right w:val="single" w:color="auto" w:sz="4" w:space="0"/>
            </w:tcBorders>
            <w:noWrap w:val="0"/>
            <w:vAlign w:val="center"/>
          </w:tcPr>
          <w:p w14:paraId="05E704C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993" w:type="dxa"/>
            <w:tcBorders>
              <w:top w:val="nil"/>
              <w:left w:val="nil"/>
              <w:bottom w:val="single" w:color="auto" w:sz="4" w:space="0"/>
              <w:right w:val="single" w:color="auto" w:sz="4" w:space="0"/>
            </w:tcBorders>
            <w:noWrap w:val="0"/>
            <w:vAlign w:val="center"/>
          </w:tcPr>
          <w:p w14:paraId="57D6530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857" w:type="dxa"/>
            <w:tcBorders>
              <w:top w:val="nil"/>
              <w:left w:val="nil"/>
              <w:bottom w:val="single" w:color="auto" w:sz="4" w:space="0"/>
              <w:right w:val="single" w:color="auto" w:sz="4" w:space="0"/>
            </w:tcBorders>
            <w:noWrap w:val="0"/>
            <w:vAlign w:val="center"/>
          </w:tcPr>
          <w:p w14:paraId="4C42A753">
            <w:pPr>
              <w:widowControl/>
              <w:jc w:val="center"/>
              <w:rPr>
                <w:rFonts w:hint="eastAsia" w:ascii="宋体" w:hAnsi="宋体" w:cs="宋体"/>
                <w:color w:val="000000"/>
                <w:kern w:val="0"/>
                <w:sz w:val="24"/>
                <w:szCs w:val="24"/>
              </w:rPr>
            </w:pPr>
          </w:p>
        </w:tc>
        <w:tc>
          <w:tcPr>
            <w:tcW w:w="750" w:type="dxa"/>
            <w:tcBorders>
              <w:top w:val="nil"/>
              <w:left w:val="nil"/>
              <w:bottom w:val="single" w:color="auto" w:sz="4" w:space="0"/>
              <w:right w:val="single" w:color="auto" w:sz="4" w:space="0"/>
            </w:tcBorders>
            <w:noWrap w:val="0"/>
            <w:vAlign w:val="center"/>
          </w:tcPr>
          <w:p w14:paraId="5F6800F5">
            <w:pPr>
              <w:widowControl/>
              <w:jc w:val="center"/>
              <w:rPr>
                <w:rFonts w:hint="eastAsia" w:ascii="宋体" w:hAnsi="宋体" w:cs="宋体"/>
                <w:color w:val="000000"/>
                <w:kern w:val="0"/>
                <w:sz w:val="24"/>
                <w:szCs w:val="24"/>
              </w:rPr>
            </w:pPr>
          </w:p>
        </w:tc>
        <w:tc>
          <w:tcPr>
            <w:tcW w:w="1920" w:type="dxa"/>
            <w:tcBorders>
              <w:top w:val="nil"/>
              <w:left w:val="nil"/>
              <w:bottom w:val="single" w:color="auto" w:sz="4" w:space="0"/>
              <w:right w:val="single" w:color="auto" w:sz="4" w:space="0"/>
            </w:tcBorders>
            <w:noWrap w:val="0"/>
            <w:vAlign w:val="top"/>
          </w:tcPr>
          <w:p w14:paraId="064111FE">
            <w:pPr>
              <w:widowControl/>
              <w:jc w:val="center"/>
              <w:rPr>
                <w:rFonts w:hint="eastAsia" w:ascii="宋体" w:hAnsi="宋体" w:cs="宋体"/>
                <w:color w:val="000000"/>
                <w:kern w:val="0"/>
                <w:sz w:val="24"/>
                <w:szCs w:val="24"/>
              </w:rPr>
            </w:pPr>
          </w:p>
        </w:tc>
      </w:tr>
      <w:tr w14:paraId="56C187F8">
        <w:tblPrEx>
          <w:tblCellMar>
            <w:top w:w="0" w:type="dxa"/>
            <w:left w:w="108" w:type="dxa"/>
            <w:bottom w:w="0" w:type="dxa"/>
            <w:right w:w="108" w:type="dxa"/>
          </w:tblCellMar>
        </w:tblPrEx>
        <w:trPr>
          <w:trHeight w:val="622" w:hRule="atLeast"/>
          <w:jc w:val="center"/>
        </w:trPr>
        <w:tc>
          <w:tcPr>
            <w:tcW w:w="784" w:type="dxa"/>
            <w:tcBorders>
              <w:top w:val="nil"/>
              <w:left w:val="single" w:color="auto" w:sz="4" w:space="0"/>
              <w:bottom w:val="single" w:color="auto" w:sz="4" w:space="0"/>
              <w:right w:val="single" w:color="auto" w:sz="4" w:space="0"/>
            </w:tcBorders>
            <w:noWrap w:val="0"/>
            <w:vAlign w:val="center"/>
          </w:tcPr>
          <w:p w14:paraId="62F23B0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11</w:t>
            </w:r>
          </w:p>
        </w:tc>
        <w:tc>
          <w:tcPr>
            <w:tcW w:w="3350" w:type="dxa"/>
            <w:tcBorders>
              <w:top w:val="nil"/>
              <w:left w:val="nil"/>
              <w:bottom w:val="single" w:color="auto" w:sz="4" w:space="0"/>
              <w:right w:val="single" w:color="auto" w:sz="4" w:space="0"/>
            </w:tcBorders>
            <w:noWrap w:val="0"/>
            <w:vAlign w:val="center"/>
          </w:tcPr>
          <w:p w14:paraId="283A4A6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供应商自行添加合理项目（墙面、地面修补等费用）</w:t>
            </w:r>
          </w:p>
        </w:tc>
        <w:tc>
          <w:tcPr>
            <w:tcW w:w="991" w:type="dxa"/>
            <w:tcBorders>
              <w:top w:val="nil"/>
              <w:left w:val="nil"/>
              <w:bottom w:val="single" w:color="auto" w:sz="4" w:space="0"/>
              <w:right w:val="single" w:color="auto" w:sz="4" w:space="0"/>
            </w:tcBorders>
            <w:noWrap w:val="0"/>
            <w:vAlign w:val="center"/>
          </w:tcPr>
          <w:p w14:paraId="6F98A25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993" w:type="dxa"/>
            <w:tcBorders>
              <w:top w:val="nil"/>
              <w:left w:val="nil"/>
              <w:bottom w:val="single" w:color="auto" w:sz="4" w:space="0"/>
              <w:right w:val="single" w:color="auto" w:sz="4" w:space="0"/>
            </w:tcBorders>
            <w:noWrap w:val="0"/>
            <w:vAlign w:val="center"/>
          </w:tcPr>
          <w:p w14:paraId="4DA81EE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857" w:type="dxa"/>
            <w:tcBorders>
              <w:top w:val="nil"/>
              <w:left w:val="nil"/>
              <w:bottom w:val="single" w:color="auto" w:sz="4" w:space="0"/>
              <w:right w:val="single" w:color="auto" w:sz="4" w:space="0"/>
            </w:tcBorders>
            <w:noWrap w:val="0"/>
            <w:vAlign w:val="center"/>
          </w:tcPr>
          <w:p w14:paraId="22C7D1A6">
            <w:pPr>
              <w:widowControl/>
              <w:jc w:val="center"/>
              <w:rPr>
                <w:rFonts w:hint="eastAsia" w:ascii="宋体" w:hAnsi="宋体" w:cs="宋体"/>
                <w:color w:val="000000"/>
                <w:kern w:val="0"/>
                <w:sz w:val="24"/>
                <w:szCs w:val="24"/>
              </w:rPr>
            </w:pPr>
          </w:p>
        </w:tc>
        <w:tc>
          <w:tcPr>
            <w:tcW w:w="750" w:type="dxa"/>
            <w:tcBorders>
              <w:top w:val="nil"/>
              <w:left w:val="nil"/>
              <w:bottom w:val="single" w:color="auto" w:sz="4" w:space="0"/>
              <w:right w:val="single" w:color="auto" w:sz="4" w:space="0"/>
            </w:tcBorders>
            <w:noWrap w:val="0"/>
            <w:vAlign w:val="center"/>
          </w:tcPr>
          <w:p w14:paraId="2202C652">
            <w:pPr>
              <w:widowControl/>
              <w:jc w:val="center"/>
              <w:rPr>
                <w:rFonts w:hint="eastAsia" w:ascii="宋体" w:hAnsi="宋体" w:cs="宋体"/>
                <w:color w:val="000000"/>
                <w:kern w:val="0"/>
                <w:sz w:val="24"/>
                <w:szCs w:val="24"/>
              </w:rPr>
            </w:pPr>
          </w:p>
        </w:tc>
        <w:tc>
          <w:tcPr>
            <w:tcW w:w="1920" w:type="dxa"/>
            <w:tcBorders>
              <w:top w:val="nil"/>
              <w:left w:val="nil"/>
              <w:bottom w:val="single" w:color="auto" w:sz="4" w:space="0"/>
              <w:right w:val="single" w:color="auto" w:sz="4" w:space="0"/>
            </w:tcBorders>
            <w:noWrap w:val="0"/>
            <w:vAlign w:val="top"/>
          </w:tcPr>
          <w:p w14:paraId="5FF4710A">
            <w:pPr>
              <w:widowControl/>
              <w:jc w:val="center"/>
              <w:rPr>
                <w:rFonts w:hint="eastAsia" w:ascii="宋体" w:hAnsi="宋体" w:cs="宋体"/>
                <w:color w:val="000000"/>
                <w:kern w:val="0"/>
                <w:sz w:val="24"/>
                <w:szCs w:val="24"/>
              </w:rPr>
            </w:pPr>
          </w:p>
        </w:tc>
      </w:tr>
      <w:tr w14:paraId="1C3B6F0B">
        <w:tblPrEx>
          <w:tblCellMar>
            <w:top w:w="0" w:type="dxa"/>
            <w:left w:w="108" w:type="dxa"/>
            <w:bottom w:w="0" w:type="dxa"/>
            <w:right w:w="108" w:type="dxa"/>
          </w:tblCellMar>
        </w:tblPrEx>
        <w:trPr>
          <w:trHeight w:val="622" w:hRule="atLeast"/>
          <w:jc w:val="center"/>
        </w:trPr>
        <w:tc>
          <w:tcPr>
            <w:tcW w:w="784" w:type="dxa"/>
            <w:tcBorders>
              <w:top w:val="nil"/>
              <w:left w:val="single" w:color="auto" w:sz="4" w:space="0"/>
              <w:bottom w:val="single" w:color="auto" w:sz="4" w:space="0"/>
              <w:right w:val="single" w:color="auto" w:sz="4" w:space="0"/>
            </w:tcBorders>
            <w:noWrap w:val="0"/>
            <w:vAlign w:val="center"/>
          </w:tcPr>
          <w:p w14:paraId="68B4D8B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350" w:type="dxa"/>
            <w:tcBorders>
              <w:top w:val="nil"/>
              <w:left w:val="nil"/>
              <w:bottom w:val="single" w:color="auto" w:sz="4" w:space="0"/>
              <w:right w:val="single" w:color="auto" w:sz="4" w:space="0"/>
            </w:tcBorders>
            <w:noWrap/>
            <w:vAlign w:val="center"/>
          </w:tcPr>
          <w:p w14:paraId="04857D3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总计</w:t>
            </w:r>
          </w:p>
        </w:tc>
        <w:tc>
          <w:tcPr>
            <w:tcW w:w="991" w:type="dxa"/>
            <w:tcBorders>
              <w:top w:val="nil"/>
              <w:left w:val="nil"/>
              <w:bottom w:val="single" w:color="auto" w:sz="4" w:space="0"/>
              <w:right w:val="single" w:color="auto" w:sz="4" w:space="0"/>
            </w:tcBorders>
            <w:noWrap/>
            <w:vAlign w:val="bottom"/>
          </w:tcPr>
          <w:p w14:paraId="6894412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noWrap/>
            <w:vAlign w:val="bottom"/>
          </w:tcPr>
          <w:p w14:paraId="256DD88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857" w:type="dxa"/>
            <w:tcBorders>
              <w:top w:val="nil"/>
              <w:left w:val="nil"/>
              <w:bottom w:val="single" w:color="auto" w:sz="4" w:space="0"/>
              <w:right w:val="single" w:color="auto" w:sz="4" w:space="0"/>
            </w:tcBorders>
            <w:noWrap/>
            <w:vAlign w:val="bottom"/>
          </w:tcPr>
          <w:p w14:paraId="71662FC7">
            <w:pPr>
              <w:widowControl/>
              <w:jc w:val="left"/>
              <w:rPr>
                <w:rFonts w:hint="eastAsia" w:ascii="等线" w:hAnsi="等线" w:eastAsia="等线" w:cs="宋体"/>
                <w:color w:val="000000"/>
                <w:kern w:val="0"/>
                <w:sz w:val="22"/>
              </w:rPr>
            </w:pPr>
          </w:p>
        </w:tc>
        <w:tc>
          <w:tcPr>
            <w:tcW w:w="750" w:type="dxa"/>
            <w:tcBorders>
              <w:top w:val="nil"/>
              <w:left w:val="nil"/>
              <w:bottom w:val="single" w:color="auto" w:sz="4" w:space="0"/>
              <w:right w:val="single" w:color="auto" w:sz="4" w:space="0"/>
            </w:tcBorders>
            <w:noWrap w:val="0"/>
            <w:vAlign w:val="center"/>
          </w:tcPr>
          <w:p w14:paraId="2445A840">
            <w:pPr>
              <w:widowControl/>
              <w:jc w:val="center"/>
              <w:rPr>
                <w:rFonts w:hint="eastAsia" w:ascii="宋体" w:hAnsi="宋体" w:cs="宋体"/>
                <w:color w:val="000000"/>
                <w:kern w:val="0"/>
                <w:sz w:val="32"/>
                <w:szCs w:val="32"/>
              </w:rPr>
            </w:pPr>
          </w:p>
        </w:tc>
        <w:tc>
          <w:tcPr>
            <w:tcW w:w="1920" w:type="dxa"/>
            <w:tcBorders>
              <w:top w:val="nil"/>
              <w:left w:val="nil"/>
              <w:bottom w:val="single" w:color="auto" w:sz="4" w:space="0"/>
              <w:right w:val="single" w:color="auto" w:sz="4" w:space="0"/>
            </w:tcBorders>
            <w:noWrap w:val="0"/>
            <w:vAlign w:val="top"/>
          </w:tcPr>
          <w:p w14:paraId="29B152E3">
            <w:pPr>
              <w:widowControl/>
              <w:jc w:val="center"/>
              <w:rPr>
                <w:rFonts w:hint="eastAsia" w:ascii="宋体" w:hAnsi="宋体" w:cs="宋体"/>
                <w:color w:val="000000"/>
                <w:kern w:val="0"/>
                <w:sz w:val="32"/>
                <w:szCs w:val="32"/>
              </w:rPr>
            </w:pPr>
          </w:p>
        </w:tc>
      </w:tr>
    </w:tbl>
    <w:p w14:paraId="21166F7D">
      <w:pPr>
        <w:pStyle w:val="39"/>
        <w:rPr>
          <w:rFonts w:hint="eastAsia"/>
        </w:rPr>
      </w:pPr>
    </w:p>
    <w:p w14:paraId="01C87B3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本表式，可根据实际报价的明细需要自行添加。</w:t>
      </w:r>
    </w:p>
    <w:p w14:paraId="57E6350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本表投标总报价（以人民币计价）应</w:t>
      </w:r>
      <w:r>
        <w:rPr>
          <w:rFonts w:hint="eastAsia" w:ascii="Times New Roman" w:hAnsi="Times New Roman" w:eastAsia="宋体"/>
          <w:bCs/>
          <w:sz w:val="24"/>
          <w:szCs w:val="24"/>
          <w:lang w:eastAsia="zh-CN"/>
        </w:rPr>
        <w:t>包含但不限于</w:t>
      </w:r>
      <w:r>
        <w:rPr>
          <w:rFonts w:hint="eastAsia" w:ascii="Times New Roman" w:hAnsi="Times New Roman" w:eastAsia="宋体"/>
          <w:bCs/>
          <w:sz w:val="24"/>
          <w:szCs w:val="24"/>
        </w:rPr>
        <w:t>成本、利润、税金、开办费、政策性调整风险费等的所有费用；</w:t>
      </w:r>
      <w:r>
        <w:rPr>
          <w:rFonts w:hint="eastAsia" w:ascii="Times New Roman" w:hAnsi="Times New Roman" w:eastAsia="宋体" w:cs="宋体"/>
          <w:sz w:val="24"/>
          <w:szCs w:val="24"/>
        </w:rPr>
        <w:t>辅材费、</w:t>
      </w:r>
      <w:r>
        <w:rPr>
          <w:rFonts w:hint="eastAsia" w:ascii="Times New Roman" w:hAnsi="Times New Roman" w:eastAsia="宋体"/>
          <w:bCs/>
          <w:sz w:val="24"/>
          <w:szCs w:val="24"/>
        </w:rPr>
        <w:t>人工费、检测费、管理费；国家税务部门规定的各项税金；相关伴随服务以及售后服务等一切费用</w:t>
      </w:r>
      <w:r>
        <w:rPr>
          <w:rFonts w:hint="eastAsia" w:ascii="Times New Roman" w:hAnsi="Times New Roman" w:eastAsia="宋体"/>
          <w:bCs/>
          <w:sz w:val="24"/>
          <w:szCs w:val="24"/>
          <w:lang w:eastAsia="zh-CN"/>
        </w:rPr>
        <w:t>；</w:t>
      </w:r>
      <w:r>
        <w:rPr>
          <w:rFonts w:hint="eastAsia" w:ascii="宋体" w:hAnsi="宋体" w:eastAsia="宋体" w:cs="宋体"/>
          <w:sz w:val="24"/>
          <w:szCs w:val="24"/>
        </w:rPr>
        <w:t>即本项目采购的货物交付使用前的所有费用以及免费质保期内的服务费用等包含响应</w:t>
      </w:r>
      <w:r>
        <w:rPr>
          <w:rFonts w:hint="eastAsia" w:ascii="宋体" w:hAnsi="宋体" w:eastAsia="宋体" w:cs="宋体"/>
          <w:sz w:val="24"/>
          <w:szCs w:val="24"/>
          <w:lang w:eastAsia="zh-CN"/>
        </w:rPr>
        <w:t>磋商</w:t>
      </w:r>
      <w:r>
        <w:rPr>
          <w:rFonts w:hint="eastAsia" w:ascii="宋体" w:hAnsi="宋体" w:eastAsia="宋体" w:cs="宋体"/>
          <w:sz w:val="24"/>
          <w:szCs w:val="24"/>
        </w:rPr>
        <w:t>文件采购要求的所有费用。</w:t>
      </w:r>
      <w:r>
        <w:rPr>
          <w:rFonts w:hint="eastAsia" w:ascii="Times New Roman" w:hAnsi="Times New Roman" w:eastAsia="宋体" w:cs="宋体"/>
          <w:sz w:val="24"/>
          <w:szCs w:val="24"/>
        </w:rPr>
        <w:t>同时，报价也包含了合同履行过程中可能发生的一切风险</w:t>
      </w:r>
      <w:r>
        <w:rPr>
          <w:rFonts w:hint="eastAsia" w:ascii="Times New Roman" w:hAnsi="Times New Roman" w:eastAsia="宋体" w:cs="宋体"/>
          <w:sz w:val="24"/>
          <w:szCs w:val="24"/>
          <w:lang w:eastAsia="zh-CN"/>
        </w:rPr>
        <w:t>。</w:t>
      </w:r>
    </w:p>
    <w:p w14:paraId="243B4004">
      <w:pPr>
        <w:tabs>
          <w:tab w:val="left" w:pos="720"/>
        </w:tabs>
        <w:snapToGrid w:val="0"/>
        <w:spacing w:line="360" w:lineRule="auto"/>
        <w:jc w:val="left"/>
        <w:rPr>
          <w:rFonts w:hint="eastAsia" w:ascii="宋体" w:hAnsi="宋体" w:eastAsia="宋体" w:cs="宋体"/>
          <w:bCs/>
          <w:color w:val="000000"/>
          <w:sz w:val="24"/>
          <w:szCs w:val="24"/>
        </w:rPr>
      </w:pPr>
    </w:p>
    <w:p w14:paraId="0D46D2CA">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供应商（盖章）：</w:t>
      </w:r>
      <w:r>
        <w:rPr>
          <w:rFonts w:hint="eastAsia" w:ascii="宋体" w:hAnsi="宋体" w:eastAsia="宋体" w:cs="宋体"/>
          <w:bCs/>
          <w:color w:val="000000"/>
          <w:sz w:val="24"/>
          <w:szCs w:val="24"/>
          <w:u w:val="single"/>
        </w:rPr>
        <w:t xml:space="preserve">                        </w:t>
      </w:r>
    </w:p>
    <w:p w14:paraId="7EA4319C">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供应商代表签字或盖章：</w:t>
      </w:r>
      <w:r>
        <w:rPr>
          <w:rFonts w:hint="eastAsia" w:ascii="宋体" w:hAnsi="宋体" w:eastAsia="宋体" w:cs="宋体"/>
          <w:bCs/>
          <w:color w:val="000000"/>
          <w:sz w:val="24"/>
          <w:szCs w:val="24"/>
          <w:u w:val="single"/>
        </w:rPr>
        <w:t xml:space="preserve">                       </w:t>
      </w:r>
    </w:p>
    <w:p w14:paraId="19D027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t xml:space="preserve">日  期： </w:t>
      </w:r>
      <w:r>
        <w:rPr>
          <w:rFonts w:hint="eastAsia" w:ascii="宋体" w:hAnsi="宋体" w:eastAsia="宋体" w:cs="宋体"/>
          <w:bCs/>
          <w:color w:val="000000"/>
          <w:sz w:val="24"/>
          <w:szCs w:val="24"/>
          <w:u w:val="single"/>
        </w:rPr>
        <w:t xml:space="preserve">                            </w:t>
      </w: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E2BF">
    <w:pPr>
      <w:pStyle w:val="17"/>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555A3"/>
    <w:multiLevelType w:val="multilevel"/>
    <w:tmpl w:val="077555A3"/>
    <w:lvl w:ilvl="0" w:tentative="0">
      <w:start w:val="1"/>
      <w:numFmt w:val="none"/>
      <w:lvlText w:val="一、"/>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TQyNGY3NWY0ZTVkMDMxMDUwZGIwMTYzYTM2NTk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2117D9A"/>
    <w:rsid w:val="0232372D"/>
    <w:rsid w:val="02F619EC"/>
    <w:rsid w:val="032341C5"/>
    <w:rsid w:val="03A83A42"/>
    <w:rsid w:val="03E379A2"/>
    <w:rsid w:val="041E22FB"/>
    <w:rsid w:val="0475016D"/>
    <w:rsid w:val="05D721F2"/>
    <w:rsid w:val="0A2543E3"/>
    <w:rsid w:val="0A2830AC"/>
    <w:rsid w:val="0A5D1C72"/>
    <w:rsid w:val="0A727010"/>
    <w:rsid w:val="0B462863"/>
    <w:rsid w:val="0BE5207C"/>
    <w:rsid w:val="0CD77836"/>
    <w:rsid w:val="0DEA1BCB"/>
    <w:rsid w:val="0E6C4D9F"/>
    <w:rsid w:val="0FB9436E"/>
    <w:rsid w:val="10E548CC"/>
    <w:rsid w:val="10EF15A7"/>
    <w:rsid w:val="115B540E"/>
    <w:rsid w:val="133E3283"/>
    <w:rsid w:val="139A7BF0"/>
    <w:rsid w:val="14EA7E81"/>
    <w:rsid w:val="151421A8"/>
    <w:rsid w:val="15253159"/>
    <w:rsid w:val="155F3D53"/>
    <w:rsid w:val="157C1E87"/>
    <w:rsid w:val="159468C1"/>
    <w:rsid w:val="15C2217E"/>
    <w:rsid w:val="15D63BCC"/>
    <w:rsid w:val="15F6320B"/>
    <w:rsid w:val="16593DC0"/>
    <w:rsid w:val="17BF578A"/>
    <w:rsid w:val="17F32EE2"/>
    <w:rsid w:val="18117D55"/>
    <w:rsid w:val="18263421"/>
    <w:rsid w:val="197565C6"/>
    <w:rsid w:val="1A18186E"/>
    <w:rsid w:val="1B4F155D"/>
    <w:rsid w:val="1C503906"/>
    <w:rsid w:val="1DE432AC"/>
    <w:rsid w:val="1E163551"/>
    <w:rsid w:val="1F0C4400"/>
    <w:rsid w:val="1F8E2FE8"/>
    <w:rsid w:val="203A77C4"/>
    <w:rsid w:val="21450846"/>
    <w:rsid w:val="21B43D41"/>
    <w:rsid w:val="224E366C"/>
    <w:rsid w:val="22D402FC"/>
    <w:rsid w:val="2335285B"/>
    <w:rsid w:val="252E676F"/>
    <w:rsid w:val="272A0E68"/>
    <w:rsid w:val="274D0351"/>
    <w:rsid w:val="27DE22E9"/>
    <w:rsid w:val="286D194F"/>
    <w:rsid w:val="28885E11"/>
    <w:rsid w:val="28F53B49"/>
    <w:rsid w:val="29C97C61"/>
    <w:rsid w:val="2B9F25ED"/>
    <w:rsid w:val="2BD6675A"/>
    <w:rsid w:val="2C5A6960"/>
    <w:rsid w:val="2C6E5A4D"/>
    <w:rsid w:val="2CC8252C"/>
    <w:rsid w:val="2CCE28B7"/>
    <w:rsid w:val="2D0068BE"/>
    <w:rsid w:val="2D547055"/>
    <w:rsid w:val="2DD824AC"/>
    <w:rsid w:val="2E672C1C"/>
    <w:rsid w:val="2F837332"/>
    <w:rsid w:val="30A401EF"/>
    <w:rsid w:val="322E658F"/>
    <w:rsid w:val="32347FCD"/>
    <w:rsid w:val="32593CE2"/>
    <w:rsid w:val="32D85BE7"/>
    <w:rsid w:val="3329796B"/>
    <w:rsid w:val="34700A2F"/>
    <w:rsid w:val="358D4A67"/>
    <w:rsid w:val="35CA34F6"/>
    <w:rsid w:val="35CB4299"/>
    <w:rsid w:val="35EB4569"/>
    <w:rsid w:val="36161DCC"/>
    <w:rsid w:val="366867C2"/>
    <w:rsid w:val="38594DC9"/>
    <w:rsid w:val="388D2136"/>
    <w:rsid w:val="396E11A3"/>
    <w:rsid w:val="3A3E6499"/>
    <w:rsid w:val="3AAB1168"/>
    <w:rsid w:val="3C2C44E9"/>
    <w:rsid w:val="3CA14B12"/>
    <w:rsid w:val="3DA05553"/>
    <w:rsid w:val="3DEA6E32"/>
    <w:rsid w:val="3DF31169"/>
    <w:rsid w:val="3E246184"/>
    <w:rsid w:val="3EF274D2"/>
    <w:rsid w:val="3F13120C"/>
    <w:rsid w:val="3FBC10C9"/>
    <w:rsid w:val="401C35B7"/>
    <w:rsid w:val="40423602"/>
    <w:rsid w:val="4080750E"/>
    <w:rsid w:val="42024E02"/>
    <w:rsid w:val="420764B5"/>
    <w:rsid w:val="422B5D33"/>
    <w:rsid w:val="425D1C65"/>
    <w:rsid w:val="42672AE3"/>
    <w:rsid w:val="440A15A0"/>
    <w:rsid w:val="442B555F"/>
    <w:rsid w:val="448734FB"/>
    <w:rsid w:val="44972DA7"/>
    <w:rsid w:val="4561465A"/>
    <w:rsid w:val="45983BDF"/>
    <w:rsid w:val="459E47A7"/>
    <w:rsid w:val="46CD07F9"/>
    <w:rsid w:val="47693BAF"/>
    <w:rsid w:val="482C45B3"/>
    <w:rsid w:val="486E3206"/>
    <w:rsid w:val="48FE0BAD"/>
    <w:rsid w:val="49727F94"/>
    <w:rsid w:val="49DC3654"/>
    <w:rsid w:val="4A324B44"/>
    <w:rsid w:val="4ACD5C5A"/>
    <w:rsid w:val="4B840262"/>
    <w:rsid w:val="4BE75A2A"/>
    <w:rsid w:val="4C510AF8"/>
    <w:rsid w:val="4E46218F"/>
    <w:rsid w:val="4EBA73A4"/>
    <w:rsid w:val="4FA520EA"/>
    <w:rsid w:val="4FC139BA"/>
    <w:rsid w:val="502E6EFE"/>
    <w:rsid w:val="5035522F"/>
    <w:rsid w:val="515F3303"/>
    <w:rsid w:val="53A23A14"/>
    <w:rsid w:val="54120D39"/>
    <w:rsid w:val="542A6B2C"/>
    <w:rsid w:val="544F229E"/>
    <w:rsid w:val="55385BD7"/>
    <w:rsid w:val="56400311"/>
    <w:rsid w:val="56E5418D"/>
    <w:rsid w:val="584274DB"/>
    <w:rsid w:val="585A4B1B"/>
    <w:rsid w:val="599B1D79"/>
    <w:rsid w:val="5A4C01FF"/>
    <w:rsid w:val="5A8F2AFB"/>
    <w:rsid w:val="5A91106B"/>
    <w:rsid w:val="5AD25AC4"/>
    <w:rsid w:val="5B02520C"/>
    <w:rsid w:val="5BD838E7"/>
    <w:rsid w:val="5BD91F04"/>
    <w:rsid w:val="5C855626"/>
    <w:rsid w:val="5EE01142"/>
    <w:rsid w:val="60032852"/>
    <w:rsid w:val="60480F23"/>
    <w:rsid w:val="61946007"/>
    <w:rsid w:val="61BD1D0E"/>
    <w:rsid w:val="633D4A8B"/>
    <w:rsid w:val="640E3A9F"/>
    <w:rsid w:val="64191A38"/>
    <w:rsid w:val="64ED5461"/>
    <w:rsid w:val="64FB113D"/>
    <w:rsid w:val="658F2EA6"/>
    <w:rsid w:val="659772A6"/>
    <w:rsid w:val="6742329A"/>
    <w:rsid w:val="675F7512"/>
    <w:rsid w:val="68A31FFC"/>
    <w:rsid w:val="68A84122"/>
    <w:rsid w:val="68AD6BF3"/>
    <w:rsid w:val="696E2E35"/>
    <w:rsid w:val="6A585565"/>
    <w:rsid w:val="6A721EA2"/>
    <w:rsid w:val="6AB53F04"/>
    <w:rsid w:val="6AE32C8B"/>
    <w:rsid w:val="6C1132E7"/>
    <w:rsid w:val="6D600F61"/>
    <w:rsid w:val="6E9616EC"/>
    <w:rsid w:val="6F3A3EBA"/>
    <w:rsid w:val="700D0A38"/>
    <w:rsid w:val="707A560C"/>
    <w:rsid w:val="70B054D2"/>
    <w:rsid w:val="712D5BF6"/>
    <w:rsid w:val="71AD12AD"/>
    <w:rsid w:val="71EA5EF0"/>
    <w:rsid w:val="720C2DA1"/>
    <w:rsid w:val="72BF1288"/>
    <w:rsid w:val="73392B0C"/>
    <w:rsid w:val="74266144"/>
    <w:rsid w:val="75363ACC"/>
    <w:rsid w:val="75652356"/>
    <w:rsid w:val="762F76F3"/>
    <w:rsid w:val="76876CD5"/>
    <w:rsid w:val="76B22FC1"/>
    <w:rsid w:val="76DF48EB"/>
    <w:rsid w:val="787C19CC"/>
    <w:rsid w:val="79173AC2"/>
    <w:rsid w:val="798C7570"/>
    <w:rsid w:val="7A0B19CB"/>
    <w:rsid w:val="7B0A1E99"/>
    <w:rsid w:val="7B85422E"/>
    <w:rsid w:val="7C1A2204"/>
    <w:rsid w:val="7C462374"/>
    <w:rsid w:val="7D5A2578"/>
    <w:rsid w:val="7DFB122D"/>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7"/>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4">
    <w:name w:val="heading 2"/>
    <w:basedOn w:val="1"/>
    <w:next w:val="1"/>
    <w:link w:val="48"/>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5">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6">
    <w:name w:val="Normal Indent"/>
    <w:basedOn w:val="1"/>
    <w:link w:val="46"/>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49"/>
    <w:autoRedefine/>
    <w:semiHidden/>
    <w:unhideWhenUsed/>
    <w:qFormat/>
    <w:uiPriority w:val="99"/>
    <w:rPr>
      <w:rFonts w:ascii="宋体" w:eastAsia="宋体"/>
      <w:sz w:val="18"/>
      <w:szCs w:val="18"/>
    </w:rPr>
  </w:style>
  <w:style w:type="paragraph" w:styleId="8">
    <w:name w:val="toa heading"/>
    <w:basedOn w:val="1"/>
    <w:next w:val="1"/>
    <w:autoRedefine/>
    <w:qFormat/>
    <w:uiPriority w:val="0"/>
    <w:rPr>
      <w:rFonts w:ascii="Arial" w:hAnsi="Arial" w:eastAsia="宋体" w:cs="Times New Roman"/>
      <w:sz w:val="24"/>
      <w:szCs w:val="21"/>
    </w:rPr>
  </w:style>
  <w:style w:type="paragraph" w:styleId="9">
    <w:name w:val="annotation text"/>
    <w:basedOn w:val="1"/>
    <w:link w:val="52"/>
    <w:autoRedefine/>
    <w:semiHidden/>
    <w:unhideWhenUsed/>
    <w:qFormat/>
    <w:uiPriority w:val="99"/>
    <w:pPr>
      <w:jc w:val="left"/>
    </w:pPr>
  </w:style>
  <w:style w:type="paragraph" w:styleId="10">
    <w:name w:val="Body Text"/>
    <w:basedOn w:val="1"/>
    <w:autoRedefine/>
    <w:qFormat/>
    <w:uiPriority w:val="0"/>
    <w:rPr>
      <w:rFonts w:ascii="楷体_GB2312" w:hAnsi="Arial" w:eastAsia="楷体_GB2312"/>
      <w:sz w:val="28"/>
      <w:szCs w:val="28"/>
    </w:rPr>
  </w:style>
  <w:style w:type="paragraph" w:styleId="11">
    <w:name w:val="Body Text Indent"/>
    <w:basedOn w:val="1"/>
    <w:next w:val="12"/>
    <w:autoRedefine/>
    <w:semiHidden/>
    <w:unhideWhenUsed/>
    <w:qFormat/>
    <w:uiPriority w:val="99"/>
    <w:pPr>
      <w:spacing w:after="120"/>
      <w:ind w:left="420" w:leftChars="200"/>
    </w:pPr>
  </w:style>
  <w:style w:type="paragraph" w:styleId="12">
    <w:name w:val="envelope return"/>
    <w:basedOn w:val="1"/>
    <w:autoRedefine/>
    <w:unhideWhenUsed/>
    <w:qFormat/>
    <w:uiPriority w:val="99"/>
    <w:pPr>
      <w:snapToGrid w:val="0"/>
    </w:pPr>
    <w:rPr>
      <w:rFonts w:ascii="Arial" w:hAnsi="Arial" w:eastAsia="楷体_GB2312" w:cs="Times New Roman"/>
      <w:sz w:val="26"/>
      <w:szCs w:val="20"/>
    </w:rPr>
  </w:style>
  <w:style w:type="paragraph" w:styleId="13">
    <w:name w:val="index 4"/>
    <w:basedOn w:val="1"/>
    <w:next w:val="1"/>
    <w:autoRedefine/>
    <w:qFormat/>
    <w:uiPriority w:val="0"/>
    <w:pPr>
      <w:ind w:left="1260"/>
    </w:pPr>
    <w:rPr>
      <w:rFonts w:ascii="Calibri" w:hAnsi="Calibri" w:eastAsia="宋体" w:cs="Times New Roman"/>
      <w:szCs w:val="20"/>
    </w:rPr>
  </w:style>
  <w:style w:type="paragraph" w:styleId="14">
    <w:name w:val="toc 3"/>
    <w:basedOn w:val="1"/>
    <w:next w:val="1"/>
    <w:autoRedefine/>
    <w:qFormat/>
    <w:uiPriority w:val="0"/>
    <w:pPr>
      <w:ind w:left="840" w:leftChars="400"/>
    </w:pPr>
    <w:rPr>
      <w:rFonts w:ascii="Calibri" w:hAnsi="Calibri" w:eastAsia="宋体" w:cs="Times New Roman"/>
      <w:szCs w:val="20"/>
    </w:rPr>
  </w:style>
  <w:style w:type="paragraph" w:styleId="15">
    <w:name w:val="Plain Text"/>
    <w:basedOn w:val="1"/>
    <w:link w:val="58"/>
    <w:autoRedefine/>
    <w:qFormat/>
    <w:uiPriority w:val="99"/>
    <w:rPr>
      <w:rFonts w:ascii="宋体" w:hAnsi="Courier New" w:eastAsia="宋体" w:cs="Times New Roman"/>
      <w:szCs w:val="20"/>
    </w:rPr>
  </w:style>
  <w:style w:type="paragraph" w:styleId="16">
    <w:name w:val="Balloon Text"/>
    <w:basedOn w:val="1"/>
    <w:link w:val="51"/>
    <w:autoRedefine/>
    <w:semiHidden/>
    <w:unhideWhenUsed/>
    <w:qFormat/>
    <w:uiPriority w:val="99"/>
    <w:rPr>
      <w:sz w:val="18"/>
      <w:szCs w:val="18"/>
    </w:rPr>
  </w:style>
  <w:style w:type="paragraph" w:styleId="17">
    <w:name w:val="footer"/>
    <w:basedOn w:val="1"/>
    <w:link w:val="45"/>
    <w:autoRedefine/>
    <w:unhideWhenUsed/>
    <w:qFormat/>
    <w:uiPriority w:val="99"/>
    <w:pPr>
      <w:tabs>
        <w:tab w:val="center" w:pos="4153"/>
        <w:tab w:val="right" w:pos="8306"/>
      </w:tabs>
      <w:snapToGrid w:val="0"/>
      <w:jc w:val="left"/>
    </w:pPr>
    <w:rPr>
      <w:sz w:val="18"/>
      <w:szCs w:val="18"/>
    </w:rPr>
  </w:style>
  <w:style w:type="paragraph" w:styleId="18">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20">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1">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2">
    <w:name w:val="annotation subject"/>
    <w:basedOn w:val="9"/>
    <w:next w:val="9"/>
    <w:link w:val="53"/>
    <w:autoRedefine/>
    <w:semiHidden/>
    <w:unhideWhenUsed/>
    <w:qFormat/>
    <w:uiPriority w:val="99"/>
    <w:rPr>
      <w:b/>
      <w:bCs/>
    </w:rPr>
  </w:style>
  <w:style w:type="paragraph" w:styleId="23">
    <w:name w:val="Body Text First Indent"/>
    <w:basedOn w:val="1"/>
    <w:next w:val="1"/>
    <w:autoRedefine/>
    <w:unhideWhenUsed/>
    <w:qFormat/>
    <w:uiPriority w:val="99"/>
    <w:pPr>
      <w:ind w:firstLine="420" w:firstLineChars="100"/>
    </w:pPr>
  </w:style>
  <w:style w:type="paragraph" w:styleId="24">
    <w:name w:val="Body Text First Indent 2"/>
    <w:basedOn w:val="11"/>
    <w:autoRedefine/>
    <w:unhideWhenUsed/>
    <w:qFormat/>
    <w:uiPriority w:val="99"/>
    <w:pPr>
      <w:ind w:firstLine="420" w:firstLineChars="200"/>
    </w:pPr>
  </w:style>
  <w:style w:type="table" w:styleId="26">
    <w:name w:val="Table Grid"/>
    <w:basedOn w:val="2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autoRedefine/>
    <w:semiHidden/>
    <w:unhideWhenUsed/>
    <w:qFormat/>
    <w:uiPriority w:val="99"/>
    <w:rPr>
      <w:color w:val="800080"/>
      <w:u w:val="none"/>
    </w:rPr>
  </w:style>
  <w:style w:type="character" w:styleId="29">
    <w:name w:val="HTML Definition"/>
    <w:basedOn w:val="27"/>
    <w:autoRedefine/>
    <w:semiHidden/>
    <w:unhideWhenUsed/>
    <w:qFormat/>
    <w:uiPriority w:val="99"/>
  </w:style>
  <w:style w:type="character" w:styleId="30">
    <w:name w:val="HTML Typewriter"/>
    <w:basedOn w:val="27"/>
    <w:autoRedefine/>
    <w:semiHidden/>
    <w:unhideWhenUsed/>
    <w:qFormat/>
    <w:uiPriority w:val="99"/>
    <w:rPr>
      <w:rFonts w:ascii="monospace" w:hAnsi="monospace" w:eastAsia="monospace" w:cs="monospace"/>
      <w:sz w:val="20"/>
    </w:rPr>
  </w:style>
  <w:style w:type="character" w:styleId="31">
    <w:name w:val="HTML Acronym"/>
    <w:basedOn w:val="27"/>
    <w:autoRedefine/>
    <w:semiHidden/>
    <w:unhideWhenUsed/>
    <w:qFormat/>
    <w:uiPriority w:val="99"/>
  </w:style>
  <w:style w:type="character" w:styleId="32">
    <w:name w:val="HTML Variable"/>
    <w:basedOn w:val="27"/>
    <w:autoRedefine/>
    <w:semiHidden/>
    <w:unhideWhenUsed/>
    <w:qFormat/>
    <w:uiPriority w:val="99"/>
  </w:style>
  <w:style w:type="character" w:styleId="33">
    <w:name w:val="Hyperlink"/>
    <w:basedOn w:val="27"/>
    <w:autoRedefine/>
    <w:unhideWhenUsed/>
    <w:qFormat/>
    <w:uiPriority w:val="99"/>
    <w:rPr>
      <w:color w:val="0000FF" w:themeColor="hyperlink"/>
      <w:u w:val="single"/>
      <w14:textFill>
        <w14:solidFill>
          <w14:schemeClr w14:val="hlink"/>
        </w14:solidFill>
      </w14:textFill>
    </w:rPr>
  </w:style>
  <w:style w:type="character" w:styleId="34">
    <w:name w:val="HTML Code"/>
    <w:basedOn w:val="27"/>
    <w:autoRedefine/>
    <w:semiHidden/>
    <w:unhideWhenUsed/>
    <w:qFormat/>
    <w:uiPriority w:val="99"/>
    <w:rPr>
      <w:rFonts w:hint="default" w:ascii="monospace" w:hAnsi="monospace" w:eastAsia="monospace" w:cs="monospace"/>
      <w:sz w:val="20"/>
    </w:rPr>
  </w:style>
  <w:style w:type="character" w:styleId="35">
    <w:name w:val="annotation reference"/>
    <w:basedOn w:val="27"/>
    <w:autoRedefine/>
    <w:semiHidden/>
    <w:unhideWhenUsed/>
    <w:qFormat/>
    <w:uiPriority w:val="99"/>
    <w:rPr>
      <w:sz w:val="21"/>
      <w:szCs w:val="21"/>
    </w:rPr>
  </w:style>
  <w:style w:type="character" w:styleId="36">
    <w:name w:val="HTML Cite"/>
    <w:basedOn w:val="27"/>
    <w:autoRedefine/>
    <w:semiHidden/>
    <w:unhideWhenUsed/>
    <w:qFormat/>
    <w:uiPriority w:val="99"/>
  </w:style>
  <w:style w:type="character" w:styleId="37">
    <w:name w:val="HTML Keyboard"/>
    <w:basedOn w:val="27"/>
    <w:autoRedefine/>
    <w:semiHidden/>
    <w:unhideWhenUsed/>
    <w:qFormat/>
    <w:uiPriority w:val="99"/>
    <w:rPr>
      <w:rFonts w:hint="default" w:ascii="monospace" w:hAnsi="monospace" w:eastAsia="monospace" w:cs="monospace"/>
      <w:sz w:val="20"/>
    </w:rPr>
  </w:style>
  <w:style w:type="character" w:styleId="38">
    <w:name w:val="HTML Sample"/>
    <w:basedOn w:val="27"/>
    <w:autoRedefine/>
    <w:semiHidden/>
    <w:unhideWhenUsed/>
    <w:qFormat/>
    <w:uiPriority w:val="99"/>
    <w:rPr>
      <w:rFonts w:hint="default" w:ascii="monospace" w:hAnsi="monospace" w:eastAsia="monospace" w:cs="monospace"/>
    </w:rPr>
  </w:style>
  <w:style w:type="paragraph" w:customStyle="1" w:styleId="39">
    <w:name w:val="无间隔1"/>
    <w:qFormat/>
    <w:uiPriority w:val="0"/>
    <w:pPr>
      <w:spacing w:line="300" w:lineRule="auto"/>
    </w:pPr>
    <w:rPr>
      <w:rFonts w:ascii="Times New Roman" w:hAnsi="Times New Roman" w:eastAsia="华文仿宋" w:cs="Times New Roman"/>
      <w:sz w:val="24"/>
      <w:szCs w:val="24"/>
      <w:lang w:val="en-US" w:eastAsia="zh-CN" w:bidi="ar-SA"/>
    </w:rPr>
  </w:style>
  <w:style w:type="paragraph" w:customStyle="1" w:styleId="40">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41">
    <w:name w:val="正文首行缩进 21"/>
    <w:basedOn w:val="11"/>
    <w:autoRedefine/>
    <w:unhideWhenUsed/>
    <w:qFormat/>
    <w:uiPriority w:val="0"/>
    <w:pPr>
      <w:ind w:firstLine="420"/>
    </w:pPr>
    <w:rPr>
      <w:lang w:val="en-US" w:eastAsia="en-US"/>
    </w:rPr>
  </w:style>
  <w:style w:type="paragraph" w:customStyle="1" w:styleId="42">
    <w:name w:val="正文文本缩进1"/>
    <w:basedOn w:val="1"/>
    <w:next w:val="43"/>
    <w:autoRedefine/>
    <w:unhideWhenUsed/>
    <w:qFormat/>
    <w:uiPriority w:val="0"/>
    <w:pPr>
      <w:spacing w:after="120"/>
      <w:ind w:left="420"/>
    </w:pPr>
    <w:rPr>
      <w:rFonts w:ascii="Times New Roman" w:hAnsi="Times New Roman"/>
      <w:lang w:val="en-US" w:eastAsia="en-US"/>
    </w:rPr>
  </w:style>
  <w:style w:type="paragraph" w:customStyle="1" w:styleId="43">
    <w:name w:val="寄信人地址1"/>
    <w:basedOn w:val="1"/>
    <w:autoRedefine/>
    <w:unhideWhenUsed/>
    <w:qFormat/>
    <w:uiPriority w:val="99"/>
    <w:rPr>
      <w:rFonts w:ascii="Arial" w:hAnsi="Arial" w:eastAsia="楷体_GB2312" w:cs="Times New Roman"/>
      <w:sz w:val="26"/>
      <w:szCs w:val="20"/>
    </w:rPr>
  </w:style>
  <w:style w:type="character" w:customStyle="1" w:styleId="44">
    <w:name w:val="页眉 Char"/>
    <w:basedOn w:val="27"/>
    <w:link w:val="18"/>
    <w:autoRedefine/>
    <w:qFormat/>
    <w:uiPriority w:val="99"/>
    <w:rPr>
      <w:sz w:val="18"/>
      <w:szCs w:val="18"/>
    </w:rPr>
  </w:style>
  <w:style w:type="character" w:customStyle="1" w:styleId="45">
    <w:name w:val="页脚 Char"/>
    <w:basedOn w:val="27"/>
    <w:link w:val="17"/>
    <w:autoRedefine/>
    <w:qFormat/>
    <w:uiPriority w:val="99"/>
    <w:rPr>
      <w:sz w:val="18"/>
      <w:szCs w:val="18"/>
    </w:rPr>
  </w:style>
  <w:style w:type="character" w:customStyle="1" w:styleId="46">
    <w:name w:val="正文缩进 Char"/>
    <w:link w:val="6"/>
    <w:autoRedefine/>
    <w:qFormat/>
    <w:uiPriority w:val="0"/>
    <w:rPr>
      <w:rFonts w:ascii="Calibri" w:hAnsi="Calibri" w:eastAsia="楷体_GB2312" w:cs="Times New Roman"/>
      <w:kern w:val="0"/>
      <w:sz w:val="24"/>
      <w:szCs w:val="20"/>
    </w:rPr>
  </w:style>
  <w:style w:type="character" w:customStyle="1" w:styleId="47">
    <w:name w:val="标题 1 Char"/>
    <w:basedOn w:val="27"/>
    <w:link w:val="3"/>
    <w:autoRedefine/>
    <w:qFormat/>
    <w:uiPriority w:val="0"/>
    <w:rPr>
      <w:rFonts w:ascii="Calibri" w:hAnsi="Calibri" w:eastAsia="楷体_GB2312" w:cs="Times New Roman"/>
      <w:b/>
      <w:kern w:val="44"/>
      <w:sz w:val="44"/>
      <w:szCs w:val="20"/>
    </w:rPr>
  </w:style>
  <w:style w:type="character" w:customStyle="1" w:styleId="48">
    <w:name w:val="标题 2 Char"/>
    <w:basedOn w:val="27"/>
    <w:link w:val="4"/>
    <w:autoRedefine/>
    <w:qFormat/>
    <w:uiPriority w:val="9"/>
    <w:rPr>
      <w:rFonts w:asciiTheme="majorHAnsi" w:hAnsiTheme="majorHAnsi" w:eastAsiaTheme="majorEastAsia" w:cstheme="majorBidi"/>
      <w:b/>
      <w:bCs/>
      <w:sz w:val="32"/>
      <w:szCs w:val="32"/>
    </w:rPr>
  </w:style>
  <w:style w:type="character" w:customStyle="1" w:styleId="49">
    <w:name w:val="文档结构图 Char"/>
    <w:basedOn w:val="27"/>
    <w:link w:val="7"/>
    <w:autoRedefine/>
    <w:semiHidden/>
    <w:qFormat/>
    <w:uiPriority w:val="99"/>
    <w:rPr>
      <w:rFonts w:ascii="宋体" w:eastAsia="宋体"/>
      <w:sz w:val="18"/>
      <w:szCs w:val="18"/>
    </w:rPr>
  </w:style>
  <w:style w:type="character" w:customStyle="1" w:styleId="50">
    <w:name w:val="NormalCharacter"/>
    <w:autoRedefine/>
    <w:qFormat/>
    <w:uiPriority w:val="0"/>
    <w:rPr>
      <w:rFonts w:ascii="Times New Roman" w:hAnsi="Times New Roman" w:eastAsia="宋体" w:cs="Times New Roman"/>
    </w:rPr>
  </w:style>
  <w:style w:type="character" w:customStyle="1" w:styleId="51">
    <w:name w:val="批注框文本 Char"/>
    <w:basedOn w:val="27"/>
    <w:link w:val="16"/>
    <w:autoRedefine/>
    <w:semiHidden/>
    <w:qFormat/>
    <w:uiPriority w:val="99"/>
    <w:rPr>
      <w:kern w:val="2"/>
      <w:sz w:val="18"/>
      <w:szCs w:val="18"/>
    </w:rPr>
  </w:style>
  <w:style w:type="character" w:customStyle="1" w:styleId="52">
    <w:name w:val="批注文字 Char"/>
    <w:basedOn w:val="27"/>
    <w:link w:val="9"/>
    <w:autoRedefine/>
    <w:semiHidden/>
    <w:qFormat/>
    <w:uiPriority w:val="99"/>
    <w:rPr>
      <w:kern w:val="2"/>
      <w:sz w:val="21"/>
      <w:szCs w:val="22"/>
    </w:rPr>
  </w:style>
  <w:style w:type="character" w:customStyle="1" w:styleId="53">
    <w:name w:val="批注主题 Char"/>
    <w:basedOn w:val="52"/>
    <w:link w:val="22"/>
    <w:autoRedefine/>
    <w:semiHidden/>
    <w:qFormat/>
    <w:uiPriority w:val="99"/>
    <w:rPr>
      <w:b/>
      <w:bCs/>
      <w:kern w:val="2"/>
      <w:sz w:val="21"/>
      <w:szCs w:val="22"/>
    </w:rPr>
  </w:style>
  <w:style w:type="character" w:customStyle="1" w:styleId="54">
    <w:name w:val="普通正文 Char"/>
    <w:link w:val="55"/>
    <w:autoRedefine/>
    <w:qFormat/>
    <w:uiPriority w:val="0"/>
    <w:rPr>
      <w:rFonts w:ascii="Arial" w:hAnsi="Arial"/>
      <w:sz w:val="24"/>
      <w:szCs w:val="24"/>
    </w:rPr>
  </w:style>
  <w:style w:type="paragraph" w:customStyle="1" w:styleId="55">
    <w:name w:val="普通正文"/>
    <w:basedOn w:val="1"/>
    <w:link w:val="54"/>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6">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57">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58">
    <w:name w:val="纯文本 Char"/>
    <w:basedOn w:val="27"/>
    <w:link w:val="15"/>
    <w:autoRedefine/>
    <w:qFormat/>
    <w:locked/>
    <w:uiPriority w:val="0"/>
    <w:rPr>
      <w:rFonts w:ascii="宋体" w:hAnsi="Courier New" w:eastAsia="宋体" w:cs="Times New Roman"/>
      <w:kern w:val="2"/>
      <w:sz w:val="21"/>
    </w:rPr>
  </w:style>
  <w:style w:type="paragraph" w:styleId="59">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60">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61">
    <w:name w:val="列出段落2"/>
    <w:basedOn w:val="1"/>
    <w:autoRedefine/>
    <w:qFormat/>
    <w:uiPriority w:val="99"/>
    <w:pPr>
      <w:ind w:firstLine="420" w:firstLineChars="200"/>
    </w:pPr>
    <w:rPr>
      <w:rFonts w:ascii="Times New Roman" w:hAnsi="Times New Roman"/>
      <w:szCs w:val="24"/>
    </w:rPr>
  </w:style>
  <w:style w:type="character" w:customStyle="1" w:styleId="62">
    <w:name w:val="样式 小四 加粗"/>
    <w:basedOn w:val="27"/>
    <w:autoRedefine/>
    <w:qFormat/>
    <w:uiPriority w:val="0"/>
    <w:rPr>
      <w:rFonts w:eastAsia="黑体"/>
      <w:b/>
      <w:bCs/>
      <w:sz w:val="24"/>
    </w:rPr>
  </w:style>
  <w:style w:type="character" w:customStyle="1" w:styleId="63">
    <w:name w:val="first-child"/>
    <w:basedOn w:val="27"/>
    <w:autoRedefine/>
    <w:qFormat/>
    <w:uiPriority w:val="0"/>
  </w:style>
  <w:style w:type="character" w:customStyle="1" w:styleId="64">
    <w:name w:val="hover3"/>
    <w:basedOn w:val="27"/>
    <w:autoRedefine/>
    <w:qFormat/>
    <w:uiPriority w:val="0"/>
    <w:rPr>
      <w:color w:val="5FB878"/>
    </w:rPr>
  </w:style>
  <w:style w:type="character" w:customStyle="1" w:styleId="65">
    <w:name w:val="hover4"/>
    <w:basedOn w:val="27"/>
    <w:autoRedefine/>
    <w:qFormat/>
    <w:uiPriority w:val="0"/>
    <w:rPr>
      <w:color w:val="5FB878"/>
    </w:rPr>
  </w:style>
  <w:style w:type="character" w:customStyle="1" w:styleId="66">
    <w:name w:val="hover5"/>
    <w:basedOn w:val="27"/>
    <w:autoRedefine/>
    <w:qFormat/>
    <w:uiPriority w:val="0"/>
    <w:rPr>
      <w:color w:val="FFFFFF"/>
    </w:rPr>
  </w:style>
  <w:style w:type="character" w:customStyle="1" w:styleId="67">
    <w:name w:val="layui-this"/>
    <w:basedOn w:val="27"/>
    <w:autoRedefine/>
    <w:qFormat/>
    <w:uiPriority w:val="0"/>
    <w:rPr>
      <w:bdr w:val="single" w:color="EEEEEE" w:sz="6" w:space="0"/>
      <w:shd w:val="clear" w:fill="FFFFFF"/>
    </w:rPr>
  </w:style>
  <w:style w:type="paragraph" w:customStyle="1" w:styleId="68">
    <w:name w:val="正文缩进2格"/>
    <w:basedOn w:val="1"/>
    <w:qFormat/>
    <w:uiPriority w:val="0"/>
    <w:pPr>
      <w:spacing w:line="600" w:lineRule="exact"/>
      <w:ind w:firstLine="206"/>
    </w:pPr>
    <w:rPr>
      <w:rFonts w:ascii="仿宋_GB2312" w:hAnsi="宋体" w:eastAsia="仿宋_GB2312"/>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14850</Words>
  <Characters>15322</Characters>
  <Lines>120</Lines>
  <Paragraphs>33</Paragraphs>
  <TotalTime>4</TotalTime>
  <ScaleCrop>false</ScaleCrop>
  <LinksUpToDate>false</LinksUpToDate>
  <CharactersWithSpaces>15645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Administrator</cp:lastModifiedBy>
  <dcterms:modified xsi:type="dcterms:W3CDTF">2024-07-15T01:43:47Z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079A696EDF02486BB848DA2AE0392408_13</vt:lpwstr>
  </property>
</Properties>
</file>